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A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 xml:space="preserve">МИНИСТЕРСТВО </w:t>
      </w:r>
      <w:r w:rsidR="00DD1C31" w:rsidRPr="00F01A07">
        <w:rPr>
          <w:sz w:val="24"/>
        </w:rPr>
        <w:t xml:space="preserve">НАУКИ </w:t>
      </w:r>
      <w:r w:rsidR="00DD1C31">
        <w:rPr>
          <w:sz w:val="24"/>
        </w:rPr>
        <w:t xml:space="preserve"> И ВЫСШЕГО </w:t>
      </w:r>
      <w:r w:rsidRPr="00F01A07">
        <w:rPr>
          <w:sz w:val="24"/>
        </w:rPr>
        <w:t>ОБРАЗОВАНИЯ И РФ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ФГБОУ ВО «Уральский государственный экономический университет»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МЕТОДИЧЕСКИЕ РЕКОМЕНДАЦИИ ПО ВЫПОЛНЕНИЮ КОНТРОЛЬНОЙ РАБОТЫ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для студентов заочной формы обучения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по дисциплине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  <w:lang w:val="en-US"/>
        </w:rPr>
        <w:t>HR</w:t>
      </w:r>
      <w:r w:rsidRPr="00F01A07">
        <w:rPr>
          <w:sz w:val="24"/>
        </w:rPr>
        <w:t>-аналитика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rPr>
          <w:sz w:val="24"/>
        </w:rPr>
      </w:pPr>
      <w:r w:rsidRPr="00F01A07">
        <w:rPr>
          <w:sz w:val="24"/>
        </w:rPr>
        <w:t>Автор: Лагутина Е.Е., к.э.н., доцент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Екатеринбург</w:t>
      </w:r>
    </w:p>
    <w:p w:rsidR="00F01A07" w:rsidRPr="00F01A07" w:rsidRDefault="00F01A07" w:rsidP="00F01A07">
      <w:pPr>
        <w:spacing w:after="26" w:line="259" w:lineRule="auto"/>
        <w:ind w:left="0" w:firstLine="0"/>
        <w:jc w:val="center"/>
        <w:rPr>
          <w:sz w:val="24"/>
        </w:rPr>
      </w:pPr>
      <w:r w:rsidRPr="00F01A07">
        <w:rPr>
          <w:sz w:val="24"/>
        </w:rPr>
        <w:t>2019</w:t>
      </w:r>
    </w:p>
    <w:p w:rsidR="00F01A07" w:rsidRDefault="00F01A07" w:rsidP="00F01A07">
      <w:pPr>
        <w:spacing w:after="26" w:line="259" w:lineRule="auto"/>
        <w:ind w:left="0" w:firstLine="0"/>
        <w:rPr>
          <w:b/>
          <w:sz w:val="24"/>
        </w:rPr>
      </w:pPr>
    </w:p>
    <w:p w:rsidR="003073C2" w:rsidRDefault="00744588">
      <w:pPr>
        <w:spacing w:after="0" w:line="270" w:lineRule="auto"/>
        <w:ind w:left="145" w:right="202" w:hanging="10"/>
        <w:jc w:val="center"/>
      </w:pPr>
      <w:r>
        <w:rPr>
          <w:b/>
        </w:rPr>
        <w:lastRenderedPageBreak/>
        <w:t xml:space="preserve">МЕТОДИЧЕСКИЕ УКАЗАНИЯ </w:t>
      </w:r>
    </w:p>
    <w:p w:rsidR="003073C2" w:rsidRDefault="00744588">
      <w:pPr>
        <w:spacing w:after="9" w:line="259" w:lineRule="auto"/>
        <w:ind w:left="566" w:firstLine="0"/>
        <w:jc w:val="left"/>
      </w:pPr>
      <w:r>
        <w:t xml:space="preserve"> </w:t>
      </w:r>
    </w:p>
    <w:p w:rsidR="003073C2" w:rsidRDefault="00744588">
      <w:pPr>
        <w:spacing w:after="46"/>
        <w:ind w:left="-15"/>
      </w:pPr>
      <w:r>
        <w:t>В соответствии с учебным планом университета по дисциплине</w:t>
      </w:r>
      <w:r w:rsidR="00915F03">
        <w:t xml:space="preserve"> «</w:t>
      </w:r>
      <w:r w:rsidR="00C10C17">
        <w:rPr>
          <w:lang w:val="en-US"/>
        </w:rPr>
        <w:t>HR</w:t>
      </w:r>
      <w:r w:rsidR="00C10C17" w:rsidRPr="00C10C17">
        <w:t>-</w:t>
      </w:r>
      <w:r w:rsidR="00C10C17">
        <w:t>аналитика</w:t>
      </w:r>
      <w:r>
        <w:t xml:space="preserve">» студенты выполняют контрольную работу. Целью выполнения контрольной работы является углубление, систематизация, расширение и закрепление теоретических знаний по данной дисциплине, а также овладение навыками самостоятельной работы, практическое освоение предмета. </w:t>
      </w:r>
    </w:p>
    <w:p w:rsidR="00DD1C31" w:rsidRDefault="00DD1C31">
      <w:pPr>
        <w:ind w:left="-15"/>
        <w:rPr>
          <w:b/>
        </w:rPr>
      </w:pPr>
    </w:p>
    <w:p w:rsidR="003073C2" w:rsidRDefault="00744588">
      <w:pPr>
        <w:ind w:left="-15"/>
      </w:pPr>
      <w:r>
        <w:rPr>
          <w:b/>
        </w:rPr>
        <w:t>Требования к оформлению</w:t>
      </w:r>
      <w:r>
        <w:t xml:space="preserve"> контрольных работ: объем установлен в пределах 10-15 страниц формата А</w:t>
      </w:r>
      <w:proofErr w:type="gramStart"/>
      <w:r>
        <w:t>4</w:t>
      </w:r>
      <w:proofErr w:type="gramEnd"/>
      <w:r>
        <w:t xml:space="preserve"> (шрифт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14, полуторный интервал), страницы работы нумеруются. На титульном листе указываются фамилия, имя, отчество студента, курс, группа, форма обучения, направление подготовки (Управление персоналом), учебная дисциплина (), номер варианта контрольной работы. </w:t>
      </w:r>
    </w:p>
    <w:p w:rsidR="003073C2" w:rsidRDefault="00744588">
      <w:pPr>
        <w:ind w:left="-15"/>
      </w:pPr>
      <w:r>
        <w:t xml:space="preserve">Начало каждого вопроса (задания) выделяется заголовком (не с новой страницы). В конце контрольной работы дается список используемой литературы, ставятся подпись и дата исполнения работы. </w:t>
      </w:r>
    </w:p>
    <w:p w:rsidR="003073C2" w:rsidRDefault="00744588">
      <w:pPr>
        <w:spacing w:after="66" w:line="259" w:lineRule="auto"/>
        <w:ind w:left="566" w:firstLine="0"/>
        <w:jc w:val="left"/>
      </w:pPr>
      <w:r>
        <w:rPr>
          <w:b/>
        </w:rPr>
        <w:t xml:space="preserve"> </w:t>
      </w:r>
    </w:p>
    <w:p w:rsidR="00DD1C31" w:rsidRDefault="00744588" w:rsidP="00420605">
      <w:pPr>
        <w:ind w:left="-15"/>
      </w:pPr>
      <w:proofErr w:type="gramStart"/>
      <w:r>
        <w:rPr>
          <w:b/>
        </w:rPr>
        <w:t>Вариант контрольной работы</w:t>
      </w:r>
      <w:r>
        <w:t xml:space="preserve"> выбирается по </w:t>
      </w:r>
      <w:r w:rsidR="00DD1C31">
        <w:t>номеру (последняя цифра) зачётной книжки или студенческого билета студента (если последняя цифра</w:t>
      </w:r>
      <w:proofErr w:type="gramEnd"/>
    </w:p>
    <w:p w:rsidR="003073C2" w:rsidRPr="00420605" w:rsidRDefault="00DD1C31" w:rsidP="00DD1C31">
      <w:pPr>
        <w:ind w:left="0" w:firstLine="0"/>
      </w:pPr>
      <w:proofErr w:type="gramStart"/>
      <w:r>
        <w:t xml:space="preserve">0, то номер варианта 10,  если последняя цифра 11, </w:t>
      </w:r>
      <w:r w:rsidR="00F01A07">
        <w:t xml:space="preserve"> то</w:t>
      </w:r>
      <w:r>
        <w:t xml:space="preserve"> номер варианта</w:t>
      </w:r>
      <w:r w:rsidR="00F01A07">
        <w:t xml:space="preserve"> 1 и т.д.)</w:t>
      </w:r>
      <w:r w:rsidR="00420605">
        <w:t>.</w:t>
      </w:r>
      <w:proofErr w:type="gramEnd"/>
    </w:p>
    <w:p w:rsidR="003073C2" w:rsidRDefault="00744588">
      <w:pPr>
        <w:spacing w:after="40"/>
        <w:ind w:left="-15"/>
      </w:pPr>
      <w:r>
        <w:t>Каждый вариант ко</w:t>
      </w:r>
      <w:r w:rsidR="00420605">
        <w:t>нтрольной работы состоит из двух заданий.</w:t>
      </w:r>
    </w:p>
    <w:p w:rsidR="003073C2" w:rsidRDefault="00744588">
      <w:pPr>
        <w:ind w:left="-15"/>
      </w:pPr>
      <w:r>
        <w:t>Теоретический вопрос должен содержать ссылки на используемую лите</w:t>
      </w:r>
      <w:r w:rsidR="00420605">
        <w:t>ратуру. Объем раскрытия вопроса</w:t>
      </w:r>
      <w:r>
        <w:t xml:space="preserve">  2-5 страниц. В конце методических указаний расположен список литературы, кроме того, студенты могут использовать иную литературу, самостоятельно подобранную, если мысли, изложенные в ней, коренным образом не противоречат идеям, изложенным в рекомендованной литературе. </w:t>
      </w:r>
      <w:r w:rsidR="00420605">
        <w:t xml:space="preserve"> </w:t>
      </w:r>
    </w:p>
    <w:p w:rsidR="00420605" w:rsidRDefault="00420605">
      <w:pPr>
        <w:ind w:left="-15"/>
      </w:pPr>
    </w:p>
    <w:p w:rsidR="00DD1C31" w:rsidRDefault="00DD1C31">
      <w:pPr>
        <w:spacing w:after="53" w:line="270" w:lineRule="auto"/>
        <w:ind w:left="145" w:right="205" w:hanging="10"/>
        <w:jc w:val="center"/>
        <w:rPr>
          <w:b/>
        </w:rPr>
      </w:pPr>
    </w:p>
    <w:p w:rsidR="003073C2" w:rsidRPr="00420605" w:rsidRDefault="00744588">
      <w:pPr>
        <w:spacing w:after="53" w:line="270" w:lineRule="auto"/>
        <w:ind w:left="145" w:right="205" w:hanging="10"/>
        <w:jc w:val="center"/>
        <w:rPr>
          <w:b/>
        </w:rPr>
      </w:pPr>
      <w:r>
        <w:rPr>
          <w:b/>
        </w:rPr>
        <w:t xml:space="preserve">ЗАДАНИЯ К КОНТРОЛЬНОЙ РАБОТЕ </w:t>
      </w: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 xml:space="preserve">Вариант 1 </w:t>
      </w:r>
    </w:p>
    <w:p w:rsidR="00C10C17" w:rsidRDefault="00420605" w:rsidP="00420605">
      <w:pPr>
        <w:pStyle w:val="4"/>
        <w:rPr>
          <w:color w:val="FFFFFF"/>
        </w:rPr>
      </w:pPr>
      <w:r>
        <w:t>1.</w:t>
      </w:r>
      <w:r>
        <w:rPr>
          <w:color w:val="FFFFFF"/>
        </w:rPr>
        <w:t>.</w:t>
      </w:r>
      <w:r w:rsidR="004237E1" w:rsidRPr="004237E1">
        <w:t xml:space="preserve"> </w:t>
      </w:r>
      <w:bookmarkStart w:id="0" w:name="_Hlk31873202"/>
      <w:r w:rsidR="00C10C17">
        <w:t>Характеристика подсистемы планирования и маркетинга персонала. Критерии, показатели, метрики оценки эффективности.</w:t>
      </w:r>
    </w:p>
    <w:p w:rsidR="00420605" w:rsidRDefault="00420605" w:rsidP="00420605">
      <w:pPr>
        <w:pStyle w:val="4"/>
      </w:pPr>
      <w:r>
        <w:t xml:space="preserve">2. </w:t>
      </w:r>
      <w:r w:rsidR="00C10C17">
        <w:t>На примере любой организации оценить эффективность подсистемы планирования и маркетинга персонала</w:t>
      </w:r>
      <w:r>
        <w:t>.</w:t>
      </w:r>
    </w:p>
    <w:bookmarkEnd w:id="0"/>
    <w:p w:rsidR="00DD1C31" w:rsidRDefault="00DD1C31" w:rsidP="00420605">
      <w:pPr>
        <w:pStyle w:val="4"/>
        <w:rPr>
          <w:b/>
          <w:bCs/>
          <w:i/>
        </w:rPr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2</w:t>
      </w:r>
    </w:p>
    <w:p w:rsidR="00C10C17" w:rsidRDefault="00420605" w:rsidP="00C10C17">
      <w:pPr>
        <w:pStyle w:val="4"/>
        <w:rPr>
          <w:color w:val="FFFFFF"/>
        </w:rPr>
      </w:pPr>
      <w:r>
        <w:t>1</w:t>
      </w:r>
      <w:r w:rsidR="00C10C17" w:rsidRPr="00C10C17">
        <w:t xml:space="preserve"> </w:t>
      </w:r>
      <w:r w:rsidR="00C10C17">
        <w:t xml:space="preserve">Характеристика подсистемы </w:t>
      </w:r>
      <w:bookmarkStart w:id="1" w:name="_Hlk31873291"/>
      <w:r w:rsidR="00C10C17">
        <w:t>найма и учета персонала</w:t>
      </w:r>
      <w:bookmarkEnd w:id="1"/>
      <w:r w:rsidR="00C10C17">
        <w:t>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найма и учета персонала.</w:t>
      </w:r>
    </w:p>
    <w:p w:rsidR="00420605" w:rsidRDefault="00420605" w:rsidP="00C10C17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3</w:t>
      </w:r>
    </w:p>
    <w:p w:rsidR="00C10C17" w:rsidRDefault="00C10C17" w:rsidP="00C10C17">
      <w:pPr>
        <w:pStyle w:val="4"/>
        <w:rPr>
          <w:color w:val="FFFFFF"/>
        </w:rPr>
      </w:pPr>
      <w:r>
        <w:t xml:space="preserve">Характеристика подсистемы  </w:t>
      </w:r>
      <w:bookmarkStart w:id="2" w:name="_Hlk31873321"/>
      <w:r>
        <w:t>управления трудовыми отношениями</w:t>
      </w:r>
      <w:bookmarkEnd w:id="2"/>
      <w:r>
        <w:t>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управления трудовыми отношениями.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4</w:t>
      </w:r>
    </w:p>
    <w:p w:rsidR="00C10C17" w:rsidRDefault="00420605" w:rsidP="00C10C17">
      <w:pPr>
        <w:pStyle w:val="4"/>
        <w:rPr>
          <w:color w:val="FFFFFF"/>
        </w:rPr>
      </w:pPr>
      <w:r>
        <w:t>1</w:t>
      </w:r>
      <w:r w:rsidR="00C10C17" w:rsidRPr="00C10C17">
        <w:t xml:space="preserve"> </w:t>
      </w:r>
      <w:r w:rsidR="00C10C17">
        <w:t>Характеристика подсистемы обеспечения нормальных условий труда.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обеспечения нормальных условий труда.</w:t>
      </w:r>
    </w:p>
    <w:p w:rsidR="00420605" w:rsidRDefault="00420605" w:rsidP="00C10C17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5</w:t>
      </w:r>
    </w:p>
    <w:p w:rsidR="00C10C17" w:rsidRDefault="00C10C17" w:rsidP="00C10C17">
      <w:pPr>
        <w:pStyle w:val="4"/>
        <w:rPr>
          <w:color w:val="FFFFFF"/>
        </w:rPr>
      </w:pPr>
      <w:r>
        <w:t>Характеристика подсистемы развития персонала.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развития персонала.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6</w:t>
      </w:r>
    </w:p>
    <w:p w:rsidR="00C10C17" w:rsidRDefault="00C10C17" w:rsidP="00C10C17">
      <w:pPr>
        <w:pStyle w:val="4"/>
        <w:rPr>
          <w:color w:val="FFFFFF"/>
        </w:rPr>
      </w:pPr>
      <w:r>
        <w:t>Характеристика подсистемы мотивации и стимулирования персонала.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мотивации и стимулирования персонала.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7</w:t>
      </w:r>
    </w:p>
    <w:p w:rsidR="00C10C17" w:rsidRDefault="00C10C17" w:rsidP="00C10C17">
      <w:pPr>
        <w:pStyle w:val="4"/>
        <w:rPr>
          <w:color w:val="FFFFFF"/>
        </w:rPr>
      </w:pPr>
      <w:r>
        <w:t xml:space="preserve">Характеристика подсистемы </w:t>
      </w:r>
      <w:bookmarkStart w:id="3" w:name="_Hlk31873457"/>
      <w:r>
        <w:t>управления социальным развитием</w:t>
      </w:r>
      <w:bookmarkEnd w:id="3"/>
      <w:r>
        <w:t>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управления социальным развитием.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8</w:t>
      </w:r>
    </w:p>
    <w:p w:rsidR="00C10C17" w:rsidRDefault="00C10C17" w:rsidP="00C10C17">
      <w:pPr>
        <w:pStyle w:val="4"/>
        <w:rPr>
          <w:color w:val="FFFFFF"/>
        </w:rPr>
      </w:pPr>
      <w:r>
        <w:t>Характеристика подсистемы развития организационных структур управления.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>2. На примере любой организации оценить эффективность подсистемы развития организационных структур управления.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9</w:t>
      </w:r>
    </w:p>
    <w:p w:rsidR="00C10C17" w:rsidRDefault="00C10C17" w:rsidP="00C10C17">
      <w:pPr>
        <w:pStyle w:val="4"/>
        <w:rPr>
          <w:color w:val="FFFFFF"/>
        </w:rPr>
      </w:pPr>
      <w:r>
        <w:t>Характеристика подсистемы правового обеспечения</w:t>
      </w:r>
      <w:r w:rsidR="00F01A07">
        <w:t xml:space="preserve"> системы управления</w:t>
      </w:r>
      <w:r>
        <w:t xml:space="preserve"> персонала.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 xml:space="preserve">2. На примере любой организации оценить эффективность подсистемы </w:t>
      </w:r>
      <w:r w:rsidR="00F01A07">
        <w:t>правового обеспечения системы управления персонала</w:t>
      </w:r>
      <w:r>
        <w:t>.</w:t>
      </w:r>
    </w:p>
    <w:p w:rsidR="00420605" w:rsidRDefault="00420605" w:rsidP="00420605">
      <w:pPr>
        <w:pStyle w:val="4"/>
      </w:pPr>
    </w:p>
    <w:p w:rsidR="00420605" w:rsidRDefault="00420605" w:rsidP="00420605">
      <w:pPr>
        <w:pStyle w:val="4"/>
        <w:rPr>
          <w:b/>
          <w:bCs/>
          <w:i/>
        </w:rPr>
      </w:pPr>
      <w:r>
        <w:rPr>
          <w:b/>
          <w:bCs/>
          <w:i/>
        </w:rPr>
        <w:t>Вариант 10</w:t>
      </w:r>
    </w:p>
    <w:p w:rsidR="00C10C17" w:rsidRDefault="00C10C17" w:rsidP="00C10C17">
      <w:pPr>
        <w:pStyle w:val="4"/>
        <w:rPr>
          <w:color w:val="FFFFFF"/>
        </w:rPr>
      </w:pPr>
      <w:r>
        <w:t>Характеристика подсистемы</w:t>
      </w:r>
      <w:r w:rsidR="00F01A07">
        <w:t xml:space="preserve"> </w:t>
      </w:r>
      <w:bookmarkStart w:id="4" w:name="_Hlk31873587"/>
      <w:r w:rsidR="00F01A07">
        <w:t>информационного обеспечения управления персоналом</w:t>
      </w:r>
      <w:bookmarkEnd w:id="4"/>
      <w:r>
        <w:t>. Критерии, показатели, метрики оценки эффективности.</w:t>
      </w:r>
    </w:p>
    <w:p w:rsidR="00C10C17" w:rsidRDefault="00C10C17" w:rsidP="00C10C17">
      <w:pPr>
        <w:pStyle w:val="4"/>
      </w:pPr>
      <w:r>
        <w:t xml:space="preserve">2. На примере любой организации оценить эффективность подсистемы </w:t>
      </w:r>
      <w:r w:rsidR="00F01A07">
        <w:t>информационного обеспечения управления персоналом</w:t>
      </w:r>
      <w:r>
        <w:t>.</w:t>
      </w:r>
    </w:p>
    <w:p w:rsidR="00420605" w:rsidRDefault="00420605" w:rsidP="00420605">
      <w:pPr>
        <w:pStyle w:val="4"/>
      </w:pPr>
    </w:p>
    <w:p w:rsidR="007F2A11" w:rsidRDefault="007F2A11" w:rsidP="004B0318">
      <w:pPr>
        <w:spacing w:after="53" w:line="270" w:lineRule="auto"/>
        <w:ind w:left="145" w:right="205" w:hanging="10"/>
        <w:jc w:val="center"/>
        <w:rPr>
          <w:b/>
        </w:rPr>
      </w:pPr>
    </w:p>
    <w:p w:rsidR="007F2A11" w:rsidRDefault="007F2A11" w:rsidP="004B0318">
      <w:pPr>
        <w:spacing w:after="53" w:line="270" w:lineRule="auto"/>
        <w:ind w:left="145" w:right="205" w:hanging="10"/>
        <w:jc w:val="center"/>
        <w:rPr>
          <w:b/>
        </w:rPr>
      </w:pPr>
    </w:p>
    <w:p w:rsidR="004B0318" w:rsidRPr="004B0318" w:rsidRDefault="004B0318" w:rsidP="004B0318">
      <w:pPr>
        <w:spacing w:after="53" w:line="270" w:lineRule="auto"/>
        <w:ind w:left="145" w:right="205" w:hanging="10"/>
        <w:jc w:val="center"/>
        <w:rPr>
          <w:b/>
        </w:rPr>
      </w:pPr>
      <w:r w:rsidRPr="004B0318">
        <w:rPr>
          <w:b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Сайт библиотеки </w:t>
      </w:r>
      <w:proofErr w:type="spellStart"/>
      <w:r>
        <w:t>УрГЭУ</w:t>
      </w:r>
      <w:proofErr w:type="spellEnd"/>
      <w:r>
        <w:t xml:space="preserve"> 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http://lib.usue.ru/ </w:t>
      </w:r>
    </w:p>
    <w:p w:rsidR="004B0318" w:rsidRDefault="004B0318" w:rsidP="004B0318">
      <w:pPr>
        <w:spacing w:after="53" w:line="270" w:lineRule="auto"/>
        <w:ind w:left="145" w:right="205" w:hanging="10"/>
      </w:pPr>
      <w:bookmarkStart w:id="5" w:name="_GoBack"/>
    </w:p>
    <w:bookmarkEnd w:id="5"/>
    <w:p w:rsidR="004B0318" w:rsidRDefault="004B0318" w:rsidP="004B0318">
      <w:pPr>
        <w:spacing w:after="53" w:line="270" w:lineRule="auto"/>
        <w:ind w:left="145" w:right="205" w:hanging="10"/>
      </w:pPr>
      <w:r>
        <w:t>Основная литература: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1. Панов М. М.. Оценка деятельности и система управления компанией на основе</w:t>
      </w:r>
    </w:p>
    <w:p w:rsidR="004B0318" w:rsidRDefault="004B0318" w:rsidP="004B0318">
      <w:pPr>
        <w:spacing w:after="53" w:line="270" w:lineRule="auto"/>
        <w:ind w:left="145" w:right="205" w:hanging="10"/>
      </w:pPr>
      <w:proofErr w:type="spellStart"/>
      <w:r>
        <w:t>KPI:практическое</w:t>
      </w:r>
      <w:proofErr w:type="spellEnd"/>
      <w:r>
        <w:t xml:space="preserve"> пособие. - Москва: ИНФРА-М, 2019. - 255 с.</w:t>
      </w:r>
    </w:p>
    <w:p w:rsidR="004B0318" w:rsidRDefault="004B0318" w:rsidP="004B0318">
      <w:pPr>
        <w:spacing w:after="53" w:line="270" w:lineRule="auto"/>
        <w:ind w:left="145" w:right="205" w:hanging="10"/>
      </w:pPr>
    </w:p>
    <w:p w:rsidR="004B0318" w:rsidRDefault="004B0318" w:rsidP="004B0318">
      <w:pPr>
        <w:spacing w:after="53" w:line="270" w:lineRule="auto"/>
        <w:ind w:left="145" w:right="205" w:hanging="10"/>
      </w:pPr>
    </w:p>
    <w:p w:rsidR="004B0318" w:rsidRDefault="004B0318" w:rsidP="004B0318">
      <w:pPr>
        <w:spacing w:after="53" w:line="270" w:lineRule="auto"/>
        <w:ind w:left="145" w:right="205" w:hanging="10"/>
      </w:pPr>
      <w:r>
        <w:t>Дополнительная литература: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1. Мельник М. В., Кривцов А. И., Горлова О. В.. Комплексный экономический </w:t>
      </w:r>
      <w:proofErr w:type="spellStart"/>
      <w:r>
        <w:t>анализ</w:t>
      </w:r>
      <w:proofErr w:type="gramStart"/>
      <w:r>
        <w:t>:у</w:t>
      </w:r>
      <w:proofErr w:type="gramEnd"/>
      <w:r>
        <w:t>чебное</w:t>
      </w:r>
      <w:proofErr w:type="spellEnd"/>
    </w:p>
    <w:p w:rsidR="004B0318" w:rsidRDefault="004B0318" w:rsidP="004B0318">
      <w:pPr>
        <w:spacing w:after="53" w:line="270" w:lineRule="auto"/>
        <w:ind w:left="145" w:right="205" w:hanging="10"/>
      </w:pPr>
      <w:r>
        <w:t>пособие для бакалавров и магистров по направлениям "Экономика" и "Менеджмент". - Москва: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ФОРУМ: ИНФРА-М, 2014. - 368 с.</w:t>
      </w:r>
    </w:p>
    <w:p w:rsidR="004B0318" w:rsidRDefault="004B0318" w:rsidP="004B0318">
      <w:pPr>
        <w:spacing w:after="53" w:line="270" w:lineRule="auto"/>
        <w:ind w:left="145" w:right="205" w:hanging="10"/>
      </w:pP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3. Савицкая Г. В.. Экономический </w:t>
      </w:r>
      <w:proofErr w:type="spellStart"/>
      <w:r>
        <w:t>анализ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 для студентов вузов, обучающихся по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экономическим направлениям и специальностям. - Москва: ИНФРА-М, 2017. - 649 с.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 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 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4. Егоршин А. П.. Эффективный менеджмент </w:t>
      </w:r>
      <w:proofErr w:type="spellStart"/>
      <w:r>
        <w:t>организации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 для студентов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вузов, обучающихся по направлениям подготовки 38.04.02 «Менеджмент», 38.04.03 «Управление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персоналом», 38.04.01 «Экономика» (квалификация (степень) «магистр»). - Москва: ИНФРА-М,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>2019. - 388 с.</w:t>
      </w:r>
    </w:p>
    <w:p w:rsidR="004B0318" w:rsidRDefault="004B0318" w:rsidP="004B0318">
      <w:pPr>
        <w:spacing w:after="53" w:line="270" w:lineRule="auto"/>
        <w:ind w:left="145" w:right="205" w:hanging="10"/>
      </w:pPr>
      <w:r>
        <w:t xml:space="preserve">5. Ткаченко И. Н., Стариков Е. Н., </w:t>
      </w:r>
      <w:proofErr w:type="spellStart"/>
      <w:r>
        <w:t>Потапцева</w:t>
      </w:r>
      <w:proofErr w:type="spellEnd"/>
      <w:r>
        <w:t xml:space="preserve"> Е. В.. Анализ экономического потенциала</w:t>
      </w:r>
    </w:p>
    <w:p w:rsidR="00420605" w:rsidRPr="00420605" w:rsidRDefault="004B0318" w:rsidP="004B0318">
      <w:pPr>
        <w:spacing w:after="53" w:line="270" w:lineRule="auto"/>
        <w:ind w:left="145" w:right="205" w:hanging="10"/>
      </w:pPr>
      <w:proofErr w:type="spellStart"/>
      <w:r>
        <w:t>корпорации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пособие. - Екатеринбург: [Издательство </w:t>
      </w:r>
      <w:proofErr w:type="spellStart"/>
      <w:r>
        <w:t>УрГЭУ</w:t>
      </w:r>
      <w:proofErr w:type="spellEnd"/>
      <w:r>
        <w:t>], 2012. - 411 с.</w:t>
      </w:r>
    </w:p>
    <w:sectPr w:rsidR="00420605" w:rsidRPr="00420605" w:rsidSect="00420605">
      <w:headerReference w:type="even" r:id="rId7"/>
      <w:headerReference w:type="default" r:id="rId8"/>
      <w:headerReference w:type="first" r:id="rId9"/>
      <w:pgSz w:w="11906" w:h="16838"/>
      <w:pgMar w:top="1191" w:right="777" w:bottom="1207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EF" w:rsidRDefault="006A14EF">
      <w:pPr>
        <w:spacing w:after="0" w:line="240" w:lineRule="auto"/>
      </w:pPr>
      <w:r>
        <w:separator/>
      </w:r>
    </w:p>
  </w:endnote>
  <w:endnote w:type="continuationSeparator" w:id="0">
    <w:p w:rsidR="006A14EF" w:rsidRDefault="006A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EF" w:rsidRDefault="006A14EF">
      <w:pPr>
        <w:spacing w:after="0" w:line="240" w:lineRule="auto"/>
      </w:pPr>
      <w:r>
        <w:separator/>
      </w:r>
    </w:p>
  </w:footnote>
  <w:footnote w:type="continuationSeparator" w:id="0">
    <w:p w:rsidR="006A14EF" w:rsidRDefault="006A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C2" w:rsidRDefault="003073C2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C2" w:rsidRDefault="003073C2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C2" w:rsidRDefault="003073C2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8D"/>
    <w:multiLevelType w:val="hybridMultilevel"/>
    <w:tmpl w:val="7EF04E1C"/>
    <w:lvl w:ilvl="0" w:tplc="141824F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CD7D6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8BB50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AE862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805A8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B180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4AA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A50B6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A4A80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83695"/>
    <w:multiLevelType w:val="hybridMultilevel"/>
    <w:tmpl w:val="5DD892BC"/>
    <w:lvl w:ilvl="0" w:tplc="D75C6BB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E2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8BA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2BA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681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247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6C9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89B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4AA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618E"/>
    <w:multiLevelType w:val="hybridMultilevel"/>
    <w:tmpl w:val="83E0C8DE"/>
    <w:lvl w:ilvl="0" w:tplc="8C96CF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852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64C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ABE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E9D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E7C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E8A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85D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65E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BE1795"/>
    <w:multiLevelType w:val="hybridMultilevel"/>
    <w:tmpl w:val="E334D9D4"/>
    <w:lvl w:ilvl="0" w:tplc="2012BC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A40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090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64A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26B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0F9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2F7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610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017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57EA3"/>
    <w:multiLevelType w:val="hybridMultilevel"/>
    <w:tmpl w:val="1F3E1206"/>
    <w:lvl w:ilvl="0" w:tplc="D40A3D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0D9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04A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0E2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8EC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1075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84D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E9B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045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B140BA"/>
    <w:multiLevelType w:val="hybridMultilevel"/>
    <w:tmpl w:val="A51825E4"/>
    <w:lvl w:ilvl="0" w:tplc="25F6BB9A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B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60F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03C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48F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E2E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96D9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4B4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6D5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9C57FE"/>
    <w:multiLevelType w:val="hybridMultilevel"/>
    <w:tmpl w:val="FD1238E8"/>
    <w:lvl w:ilvl="0" w:tplc="92FE86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CCE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ABB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64C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80E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ACD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DFF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E8B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298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7539D4"/>
    <w:multiLevelType w:val="hybridMultilevel"/>
    <w:tmpl w:val="77AEC88A"/>
    <w:lvl w:ilvl="0" w:tplc="FD44D2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ABA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2D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EC7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217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A91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2B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412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CF2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E251AE"/>
    <w:multiLevelType w:val="hybridMultilevel"/>
    <w:tmpl w:val="783AA5BC"/>
    <w:lvl w:ilvl="0" w:tplc="D00866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859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2A1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E2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457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6DE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8A3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6E4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A87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656E07"/>
    <w:multiLevelType w:val="hybridMultilevel"/>
    <w:tmpl w:val="931C0E7E"/>
    <w:lvl w:ilvl="0" w:tplc="64AECD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ACAB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49C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0D9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895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CDC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E3D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8F4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0B2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FC3DBB"/>
    <w:multiLevelType w:val="hybridMultilevel"/>
    <w:tmpl w:val="0318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3C2"/>
    <w:rsid w:val="003073C2"/>
    <w:rsid w:val="00355E12"/>
    <w:rsid w:val="00420605"/>
    <w:rsid w:val="004237E1"/>
    <w:rsid w:val="004B0318"/>
    <w:rsid w:val="00550AA4"/>
    <w:rsid w:val="0064666A"/>
    <w:rsid w:val="006A14EF"/>
    <w:rsid w:val="00744588"/>
    <w:rsid w:val="007F2A11"/>
    <w:rsid w:val="00853E01"/>
    <w:rsid w:val="00915F03"/>
    <w:rsid w:val="00C10C17"/>
    <w:rsid w:val="00CC6609"/>
    <w:rsid w:val="00D70D37"/>
    <w:rsid w:val="00DD1C31"/>
    <w:rsid w:val="00E276C8"/>
    <w:rsid w:val="00ED37E6"/>
    <w:rsid w:val="00F01A07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8"/>
    <w:pPr>
      <w:spacing w:after="12" w:line="271" w:lineRule="auto"/>
      <w:ind w:left="5319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7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A4"/>
    <w:rPr>
      <w:rFonts w:ascii="Tahoma" w:eastAsia="Times New Roman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5"/>
    <w:rsid w:val="00550AA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5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a"/>
    <w:rsid w:val="00420605"/>
    <w:pPr>
      <w:spacing w:after="0" w:line="360" w:lineRule="auto"/>
      <w:ind w:left="0" w:firstLine="709"/>
    </w:pPr>
    <w:rPr>
      <w:color w:val="auto"/>
      <w:szCs w:val="28"/>
    </w:rPr>
  </w:style>
  <w:style w:type="paragraph" w:styleId="a6">
    <w:name w:val="footer"/>
    <w:basedOn w:val="a"/>
    <w:link w:val="a7"/>
    <w:uiPriority w:val="99"/>
    <w:unhideWhenUsed/>
    <w:rsid w:val="0091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F0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led</cp:lastModifiedBy>
  <cp:revision>3</cp:revision>
  <dcterms:created xsi:type="dcterms:W3CDTF">2020-02-06T05:16:00Z</dcterms:created>
  <dcterms:modified xsi:type="dcterms:W3CDTF">2020-02-06T05:16:00Z</dcterms:modified>
</cp:coreProperties>
</file>