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360354682"/>
        <w:docPartObj>
          <w:docPartGallery w:val="Table of Contents"/>
          <w:docPartUnique/>
        </w:docPartObj>
      </w:sdtPr>
      <w:sdtEndPr>
        <w:rPr>
          <w:b/>
          <w:bCs/>
        </w:rPr>
      </w:sdtEndPr>
      <w:sdtContent>
        <w:p w:rsidR="0013216A" w:rsidRPr="000B01BF" w:rsidRDefault="0013216A" w:rsidP="0013216A">
          <w:pPr>
            <w:pStyle w:val="a4"/>
            <w:jc w:val="center"/>
            <w:rPr>
              <w:rFonts w:ascii="Times New Roman" w:hAnsi="Times New Roman" w:cs="Times New Roman"/>
              <w:b/>
              <w:color w:val="auto"/>
            </w:rPr>
          </w:pPr>
          <w:r w:rsidRPr="000B01BF">
            <w:rPr>
              <w:rFonts w:ascii="Times New Roman" w:hAnsi="Times New Roman" w:cs="Times New Roman"/>
              <w:b/>
              <w:color w:val="auto"/>
            </w:rPr>
            <w:t>Содержание</w:t>
          </w:r>
        </w:p>
        <w:p w:rsidR="000B01BF" w:rsidRPr="000B01BF" w:rsidRDefault="000B01BF" w:rsidP="000B01BF">
          <w:pPr>
            <w:rPr>
              <w:lang w:eastAsia="ru-RU"/>
            </w:rPr>
          </w:pPr>
        </w:p>
        <w:p w:rsidR="0013216A" w:rsidRPr="0013216A" w:rsidRDefault="0013216A">
          <w:pPr>
            <w:pStyle w:val="11"/>
            <w:tabs>
              <w:tab w:val="right" w:leader="dot" w:pos="9345"/>
            </w:tabs>
            <w:rPr>
              <w:rFonts w:ascii="Times New Roman" w:eastAsiaTheme="minorEastAsia" w:hAnsi="Times New Roman" w:cs="Times New Roman"/>
              <w:noProof/>
              <w:sz w:val="28"/>
              <w:lang w:eastAsia="ru-RU"/>
            </w:rPr>
          </w:pPr>
          <w:r>
            <w:fldChar w:fldCharType="begin"/>
          </w:r>
          <w:r>
            <w:instrText xml:space="preserve"> TOC \o "1-3" \h \z \u </w:instrText>
          </w:r>
          <w:r>
            <w:fldChar w:fldCharType="separate"/>
          </w:r>
          <w:hyperlink w:anchor="_Toc35449504" w:history="1">
            <w:r w:rsidRPr="0013216A">
              <w:rPr>
                <w:rStyle w:val="a5"/>
                <w:rFonts w:ascii="Times New Roman" w:hAnsi="Times New Roman" w:cs="Times New Roman"/>
                <w:noProof/>
                <w:sz w:val="28"/>
              </w:rPr>
              <w:t>Введение</w:t>
            </w:r>
            <w:r w:rsidRPr="0013216A">
              <w:rPr>
                <w:rFonts w:ascii="Times New Roman" w:hAnsi="Times New Roman" w:cs="Times New Roman"/>
                <w:noProof/>
                <w:webHidden/>
                <w:sz w:val="28"/>
              </w:rPr>
              <w:tab/>
            </w:r>
            <w:r w:rsidRPr="0013216A">
              <w:rPr>
                <w:rFonts w:ascii="Times New Roman" w:hAnsi="Times New Roman" w:cs="Times New Roman"/>
                <w:noProof/>
                <w:webHidden/>
                <w:sz w:val="28"/>
              </w:rPr>
              <w:fldChar w:fldCharType="begin"/>
            </w:r>
            <w:r w:rsidRPr="0013216A">
              <w:rPr>
                <w:rFonts w:ascii="Times New Roman" w:hAnsi="Times New Roman" w:cs="Times New Roman"/>
                <w:noProof/>
                <w:webHidden/>
                <w:sz w:val="28"/>
              </w:rPr>
              <w:instrText xml:space="preserve"> PAGEREF _Toc35449504 \h </w:instrText>
            </w:r>
            <w:r w:rsidRPr="0013216A">
              <w:rPr>
                <w:rFonts w:ascii="Times New Roman" w:hAnsi="Times New Roman" w:cs="Times New Roman"/>
                <w:noProof/>
                <w:webHidden/>
                <w:sz w:val="28"/>
              </w:rPr>
            </w:r>
            <w:r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3</w:t>
            </w:r>
            <w:r w:rsidRPr="0013216A">
              <w:rPr>
                <w:rFonts w:ascii="Times New Roman" w:hAnsi="Times New Roman" w:cs="Times New Roman"/>
                <w:noProof/>
                <w:webHidden/>
                <w:sz w:val="28"/>
              </w:rPr>
              <w:fldChar w:fldCharType="end"/>
            </w:r>
          </w:hyperlink>
        </w:p>
        <w:p w:rsidR="0013216A" w:rsidRPr="0013216A" w:rsidRDefault="002D3C29">
          <w:pPr>
            <w:pStyle w:val="11"/>
            <w:tabs>
              <w:tab w:val="left" w:pos="440"/>
              <w:tab w:val="right" w:leader="dot" w:pos="9345"/>
            </w:tabs>
            <w:rPr>
              <w:rFonts w:ascii="Times New Roman" w:eastAsiaTheme="minorEastAsia" w:hAnsi="Times New Roman" w:cs="Times New Roman"/>
              <w:noProof/>
              <w:sz w:val="28"/>
              <w:lang w:eastAsia="ru-RU"/>
            </w:rPr>
          </w:pPr>
          <w:hyperlink w:anchor="_Toc35449505" w:history="1">
            <w:r w:rsidR="0013216A" w:rsidRPr="0013216A">
              <w:rPr>
                <w:rStyle w:val="a5"/>
                <w:rFonts w:ascii="Times New Roman" w:hAnsi="Times New Roman" w:cs="Times New Roman"/>
                <w:noProof/>
                <w:sz w:val="28"/>
              </w:rPr>
              <w:t>1.</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Теоретические основы организации денежного обращения в РФ.</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_Toc35449505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4</w:t>
            </w:r>
            <w:r w:rsidR="0013216A" w:rsidRPr="0013216A">
              <w:rPr>
                <w:rFonts w:ascii="Times New Roman" w:hAnsi="Times New Roman" w:cs="Times New Roman"/>
                <w:noProof/>
                <w:webHidden/>
                <w:sz w:val="28"/>
              </w:rPr>
              <w:fldChar w:fldCharType="end"/>
            </w:r>
          </w:hyperlink>
        </w:p>
        <w:p w:rsidR="0013216A" w:rsidRPr="0013216A" w:rsidRDefault="002D3C29">
          <w:pPr>
            <w:pStyle w:val="2"/>
            <w:tabs>
              <w:tab w:val="left" w:pos="880"/>
              <w:tab w:val="right" w:leader="dot" w:pos="9345"/>
            </w:tabs>
            <w:rPr>
              <w:rFonts w:ascii="Times New Roman" w:eastAsiaTheme="minorEastAsia" w:hAnsi="Times New Roman" w:cs="Times New Roman"/>
              <w:noProof/>
              <w:sz w:val="28"/>
              <w:lang w:eastAsia="ru-RU"/>
            </w:rPr>
          </w:pPr>
          <w:hyperlink w:anchor="_Toc35449506" w:history="1">
            <w:r w:rsidR="0013216A" w:rsidRPr="0013216A">
              <w:rPr>
                <w:rStyle w:val="a5"/>
                <w:rFonts w:ascii="Times New Roman" w:hAnsi="Times New Roman" w:cs="Times New Roman"/>
                <w:noProof/>
                <w:sz w:val="28"/>
              </w:rPr>
              <w:t>1.1.</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Правовая и законодательная база денежного обращения в РФ.</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_Toc35449506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4</w:t>
            </w:r>
            <w:r w:rsidR="0013216A" w:rsidRPr="0013216A">
              <w:rPr>
                <w:rFonts w:ascii="Times New Roman" w:hAnsi="Times New Roman" w:cs="Times New Roman"/>
                <w:noProof/>
                <w:webHidden/>
                <w:sz w:val="28"/>
              </w:rPr>
              <w:fldChar w:fldCharType="end"/>
            </w:r>
          </w:hyperlink>
        </w:p>
        <w:p w:rsidR="0013216A" w:rsidRPr="0013216A" w:rsidRDefault="002D3C29">
          <w:pPr>
            <w:pStyle w:val="2"/>
            <w:tabs>
              <w:tab w:val="left" w:pos="880"/>
              <w:tab w:val="right" w:leader="dot" w:pos="9345"/>
            </w:tabs>
            <w:rPr>
              <w:rFonts w:ascii="Times New Roman" w:eastAsiaTheme="minorEastAsia" w:hAnsi="Times New Roman" w:cs="Times New Roman"/>
              <w:noProof/>
              <w:sz w:val="28"/>
              <w:lang w:eastAsia="ru-RU"/>
            </w:rPr>
          </w:pPr>
          <w:hyperlink w:anchor="_Toc35449507" w:history="1">
            <w:r w:rsidR="0013216A" w:rsidRPr="0013216A">
              <w:rPr>
                <w:rStyle w:val="a5"/>
                <w:rFonts w:ascii="Times New Roman" w:hAnsi="Times New Roman" w:cs="Times New Roman"/>
                <w:noProof/>
                <w:sz w:val="28"/>
              </w:rPr>
              <w:t>1.2.</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Деньги и денежная масса: сущность и функции</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_Toc35449507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5</w:t>
            </w:r>
            <w:r w:rsidR="0013216A" w:rsidRPr="0013216A">
              <w:rPr>
                <w:rFonts w:ascii="Times New Roman" w:hAnsi="Times New Roman" w:cs="Times New Roman"/>
                <w:noProof/>
                <w:webHidden/>
                <w:sz w:val="28"/>
              </w:rPr>
              <w:fldChar w:fldCharType="end"/>
            </w:r>
          </w:hyperlink>
        </w:p>
        <w:p w:rsidR="0013216A" w:rsidRPr="0013216A" w:rsidRDefault="002D3C29">
          <w:pPr>
            <w:pStyle w:val="2"/>
            <w:tabs>
              <w:tab w:val="left" w:pos="880"/>
              <w:tab w:val="right" w:leader="dot" w:pos="9345"/>
            </w:tabs>
            <w:rPr>
              <w:rFonts w:ascii="Times New Roman" w:eastAsiaTheme="minorEastAsia" w:hAnsi="Times New Roman" w:cs="Times New Roman"/>
              <w:noProof/>
              <w:sz w:val="28"/>
              <w:lang w:eastAsia="ru-RU"/>
            </w:rPr>
          </w:pPr>
          <w:hyperlink w:anchor="_Toc35449508" w:history="1">
            <w:r w:rsidR="0013216A" w:rsidRPr="0013216A">
              <w:rPr>
                <w:rStyle w:val="a5"/>
                <w:rFonts w:ascii="Times New Roman" w:hAnsi="Times New Roman" w:cs="Times New Roman"/>
                <w:noProof/>
                <w:sz w:val="28"/>
              </w:rPr>
              <w:t>1.3.</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Характеристика денежного обращения РФ.</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_Toc35449508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6</w:t>
            </w:r>
            <w:r w:rsidR="0013216A" w:rsidRPr="0013216A">
              <w:rPr>
                <w:rFonts w:ascii="Times New Roman" w:hAnsi="Times New Roman" w:cs="Times New Roman"/>
                <w:noProof/>
                <w:webHidden/>
                <w:sz w:val="28"/>
              </w:rPr>
              <w:fldChar w:fldCharType="end"/>
            </w:r>
          </w:hyperlink>
        </w:p>
        <w:p w:rsidR="0013216A" w:rsidRPr="0013216A" w:rsidRDefault="002D3C29">
          <w:pPr>
            <w:pStyle w:val="11"/>
            <w:tabs>
              <w:tab w:val="left" w:pos="440"/>
              <w:tab w:val="right" w:leader="dot" w:pos="9345"/>
            </w:tabs>
            <w:rPr>
              <w:rFonts w:ascii="Times New Roman" w:eastAsiaTheme="minorEastAsia" w:hAnsi="Times New Roman" w:cs="Times New Roman"/>
              <w:noProof/>
              <w:sz w:val="28"/>
              <w:lang w:eastAsia="ru-RU"/>
            </w:rPr>
          </w:pPr>
          <w:hyperlink w:anchor="_Toc35449509" w:history="1">
            <w:r w:rsidR="0013216A" w:rsidRPr="0013216A">
              <w:rPr>
                <w:rStyle w:val="a5"/>
                <w:rFonts w:ascii="Times New Roman" w:hAnsi="Times New Roman" w:cs="Times New Roman"/>
                <w:noProof/>
                <w:sz w:val="28"/>
              </w:rPr>
              <w:t>2.</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Анализ эффективности регулирования денежного обращения в РФ.</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_Toc35449509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7</w:t>
            </w:r>
            <w:r w:rsidR="0013216A" w:rsidRPr="0013216A">
              <w:rPr>
                <w:rFonts w:ascii="Times New Roman" w:hAnsi="Times New Roman" w:cs="Times New Roman"/>
                <w:noProof/>
                <w:webHidden/>
                <w:sz w:val="28"/>
              </w:rPr>
              <w:fldChar w:fldCharType="end"/>
            </w:r>
          </w:hyperlink>
        </w:p>
        <w:p w:rsidR="0013216A" w:rsidRPr="0013216A" w:rsidRDefault="002D3C29">
          <w:pPr>
            <w:pStyle w:val="2"/>
            <w:tabs>
              <w:tab w:val="left" w:pos="880"/>
              <w:tab w:val="right" w:leader="dot" w:pos="9345"/>
            </w:tabs>
            <w:rPr>
              <w:rFonts w:ascii="Times New Roman" w:eastAsiaTheme="minorEastAsia" w:hAnsi="Times New Roman" w:cs="Times New Roman"/>
              <w:noProof/>
              <w:sz w:val="28"/>
              <w:lang w:eastAsia="ru-RU"/>
            </w:rPr>
          </w:pPr>
          <w:hyperlink w:anchor="_Toc35449510" w:history="1">
            <w:r w:rsidR="0013216A" w:rsidRPr="0013216A">
              <w:rPr>
                <w:rStyle w:val="a5"/>
                <w:rFonts w:ascii="Times New Roman" w:hAnsi="Times New Roman" w:cs="Times New Roman"/>
                <w:noProof/>
                <w:sz w:val="28"/>
              </w:rPr>
              <w:t>2.1.</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Центральный банк- основной регулятор денежного обращения</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_Toc35449510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7</w:t>
            </w:r>
            <w:r w:rsidR="0013216A" w:rsidRPr="0013216A">
              <w:rPr>
                <w:rFonts w:ascii="Times New Roman" w:hAnsi="Times New Roman" w:cs="Times New Roman"/>
                <w:noProof/>
                <w:webHidden/>
                <w:sz w:val="28"/>
              </w:rPr>
              <w:fldChar w:fldCharType="end"/>
            </w:r>
          </w:hyperlink>
        </w:p>
        <w:p w:rsidR="0013216A" w:rsidRPr="0013216A" w:rsidRDefault="002D3C29">
          <w:pPr>
            <w:pStyle w:val="2"/>
            <w:tabs>
              <w:tab w:val="left" w:pos="880"/>
              <w:tab w:val="right" w:leader="dot" w:pos="9345"/>
            </w:tabs>
            <w:rPr>
              <w:rFonts w:ascii="Times New Roman" w:eastAsiaTheme="minorEastAsia" w:hAnsi="Times New Roman" w:cs="Times New Roman"/>
              <w:noProof/>
              <w:sz w:val="28"/>
              <w:lang w:eastAsia="ru-RU"/>
            </w:rPr>
          </w:pPr>
          <w:hyperlink w:anchor="_Toc35449511" w:history="1">
            <w:r w:rsidR="0013216A" w:rsidRPr="0013216A">
              <w:rPr>
                <w:rStyle w:val="a5"/>
                <w:rFonts w:ascii="Times New Roman" w:hAnsi="Times New Roman" w:cs="Times New Roman"/>
                <w:noProof/>
                <w:sz w:val="28"/>
              </w:rPr>
              <w:t>2.2.</w:t>
            </w:r>
            <w:r w:rsidR="0013216A" w:rsidRPr="0013216A">
              <w:rPr>
                <w:rFonts w:ascii="Times New Roman" w:eastAsiaTheme="minorEastAsia" w:hAnsi="Times New Roman" w:cs="Times New Roman"/>
                <w:noProof/>
                <w:sz w:val="28"/>
                <w:lang w:eastAsia="ru-RU"/>
              </w:rPr>
              <w:tab/>
            </w:r>
            <w:r w:rsidR="0013216A" w:rsidRPr="0013216A">
              <w:rPr>
                <w:rStyle w:val="a5"/>
                <w:rFonts w:ascii="Times New Roman" w:hAnsi="Times New Roman" w:cs="Times New Roman"/>
                <w:noProof/>
                <w:sz w:val="28"/>
              </w:rPr>
              <w:t>Монетарная политика государства и ее инструменты в рыночной экономике</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_Toc35449511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11</w:t>
            </w:r>
            <w:r w:rsidR="0013216A" w:rsidRPr="0013216A">
              <w:rPr>
                <w:rFonts w:ascii="Times New Roman" w:hAnsi="Times New Roman" w:cs="Times New Roman"/>
                <w:noProof/>
                <w:webHidden/>
                <w:sz w:val="28"/>
              </w:rPr>
              <w:fldChar w:fldCharType="end"/>
            </w:r>
          </w:hyperlink>
        </w:p>
        <w:p w:rsidR="0013216A" w:rsidRPr="0013216A" w:rsidRDefault="002D3C29">
          <w:pPr>
            <w:pStyle w:val="11"/>
            <w:tabs>
              <w:tab w:val="right" w:leader="dot" w:pos="9345"/>
            </w:tabs>
            <w:rPr>
              <w:rFonts w:ascii="Times New Roman" w:eastAsiaTheme="minorEastAsia" w:hAnsi="Times New Roman" w:cs="Times New Roman"/>
              <w:noProof/>
              <w:sz w:val="28"/>
              <w:lang w:eastAsia="ru-RU"/>
            </w:rPr>
          </w:pPr>
          <w:hyperlink w:anchor="_Toc35449512" w:history="1">
            <w:r w:rsidR="0013216A" w:rsidRPr="0013216A">
              <w:rPr>
                <w:rStyle w:val="a5"/>
                <w:rFonts w:ascii="Times New Roman" w:hAnsi="Times New Roman" w:cs="Times New Roman"/>
                <w:noProof/>
                <w:sz w:val="28"/>
              </w:rPr>
              <w:t>Заключение</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_Toc35449512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12</w:t>
            </w:r>
            <w:r w:rsidR="0013216A" w:rsidRPr="0013216A">
              <w:rPr>
                <w:rFonts w:ascii="Times New Roman" w:hAnsi="Times New Roman" w:cs="Times New Roman"/>
                <w:noProof/>
                <w:webHidden/>
                <w:sz w:val="28"/>
              </w:rPr>
              <w:fldChar w:fldCharType="end"/>
            </w:r>
          </w:hyperlink>
        </w:p>
        <w:p w:rsidR="0013216A" w:rsidRPr="0013216A" w:rsidRDefault="002D3C29">
          <w:pPr>
            <w:pStyle w:val="11"/>
            <w:tabs>
              <w:tab w:val="right" w:leader="dot" w:pos="9345"/>
            </w:tabs>
            <w:rPr>
              <w:rFonts w:ascii="Times New Roman" w:eastAsiaTheme="minorEastAsia" w:hAnsi="Times New Roman" w:cs="Times New Roman"/>
              <w:noProof/>
              <w:sz w:val="28"/>
              <w:lang w:eastAsia="ru-RU"/>
            </w:rPr>
          </w:pPr>
          <w:hyperlink w:anchor="_Toc35449513" w:history="1">
            <w:r w:rsidR="0013216A" w:rsidRPr="0013216A">
              <w:rPr>
                <w:rStyle w:val="a5"/>
                <w:rFonts w:ascii="Times New Roman" w:hAnsi="Times New Roman" w:cs="Times New Roman"/>
                <w:noProof/>
                <w:sz w:val="28"/>
              </w:rPr>
              <w:t>Список использованных источников</w:t>
            </w:r>
            <w:r w:rsidR="0013216A" w:rsidRPr="0013216A">
              <w:rPr>
                <w:rFonts w:ascii="Times New Roman" w:hAnsi="Times New Roman" w:cs="Times New Roman"/>
                <w:noProof/>
                <w:webHidden/>
                <w:sz w:val="28"/>
              </w:rPr>
              <w:tab/>
            </w:r>
            <w:r w:rsidR="0013216A" w:rsidRPr="0013216A">
              <w:rPr>
                <w:rFonts w:ascii="Times New Roman" w:hAnsi="Times New Roman" w:cs="Times New Roman"/>
                <w:noProof/>
                <w:webHidden/>
                <w:sz w:val="28"/>
              </w:rPr>
              <w:fldChar w:fldCharType="begin"/>
            </w:r>
            <w:r w:rsidR="0013216A" w:rsidRPr="0013216A">
              <w:rPr>
                <w:rFonts w:ascii="Times New Roman" w:hAnsi="Times New Roman" w:cs="Times New Roman"/>
                <w:noProof/>
                <w:webHidden/>
                <w:sz w:val="28"/>
              </w:rPr>
              <w:instrText xml:space="preserve"> PAGEREF _Toc35449513 \h </w:instrText>
            </w:r>
            <w:r w:rsidR="0013216A" w:rsidRPr="0013216A">
              <w:rPr>
                <w:rFonts w:ascii="Times New Roman" w:hAnsi="Times New Roman" w:cs="Times New Roman"/>
                <w:noProof/>
                <w:webHidden/>
                <w:sz w:val="28"/>
              </w:rPr>
            </w:r>
            <w:r w:rsidR="0013216A" w:rsidRPr="0013216A">
              <w:rPr>
                <w:rFonts w:ascii="Times New Roman" w:hAnsi="Times New Roman" w:cs="Times New Roman"/>
                <w:noProof/>
                <w:webHidden/>
                <w:sz w:val="28"/>
              </w:rPr>
              <w:fldChar w:fldCharType="separate"/>
            </w:r>
            <w:r w:rsidR="005270F2">
              <w:rPr>
                <w:rFonts w:ascii="Times New Roman" w:hAnsi="Times New Roman" w:cs="Times New Roman"/>
                <w:noProof/>
                <w:webHidden/>
                <w:sz w:val="28"/>
              </w:rPr>
              <w:t>13</w:t>
            </w:r>
            <w:r w:rsidR="0013216A" w:rsidRPr="0013216A">
              <w:rPr>
                <w:rFonts w:ascii="Times New Roman" w:hAnsi="Times New Roman" w:cs="Times New Roman"/>
                <w:noProof/>
                <w:webHidden/>
                <w:sz w:val="28"/>
              </w:rPr>
              <w:fldChar w:fldCharType="end"/>
            </w:r>
          </w:hyperlink>
        </w:p>
        <w:p w:rsidR="0013216A" w:rsidRDefault="0013216A">
          <w:r>
            <w:rPr>
              <w:b/>
              <w:bCs/>
            </w:rPr>
            <w:fldChar w:fldCharType="end"/>
          </w:r>
        </w:p>
      </w:sdtContent>
    </w:sdt>
    <w:p w:rsidR="0013216A" w:rsidRPr="0013216A" w:rsidRDefault="0013216A" w:rsidP="0013216A">
      <w:pPr>
        <w:rPr>
          <w:rFonts w:ascii="Times New Roman" w:hAnsi="Times New Roman" w:cs="Times New Roman"/>
          <w:sz w:val="28"/>
          <w:szCs w:val="28"/>
        </w:rPr>
      </w:pPr>
    </w:p>
    <w:p w:rsidR="0013216A" w:rsidRDefault="0013216A">
      <w:pPr>
        <w:rPr>
          <w:rFonts w:ascii="Times New Roman" w:hAnsi="Times New Roman" w:cs="Times New Roman"/>
          <w:sz w:val="28"/>
          <w:szCs w:val="28"/>
        </w:rPr>
      </w:pPr>
      <w:r>
        <w:rPr>
          <w:rFonts w:ascii="Times New Roman" w:hAnsi="Times New Roman" w:cs="Times New Roman"/>
          <w:sz w:val="28"/>
          <w:szCs w:val="28"/>
        </w:rPr>
        <w:br w:type="page"/>
      </w:r>
    </w:p>
    <w:p w:rsidR="0013216A" w:rsidRDefault="0013216A" w:rsidP="000B01BF">
      <w:pPr>
        <w:pStyle w:val="a3"/>
        <w:ind w:left="-567"/>
        <w:jc w:val="center"/>
        <w:outlineLvl w:val="0"/>
        <w:rPr>
          <w:rFonts w:ascii="Times New Roman" w:hAnsi="Times New Roman" w:cs="Times New Roman"/>
          <w:b/>
          <w:sz w:val="32"/>
          <w:szCs w:val="32"/>
        </w:rPr>
      </w:pPr>
      <w:bookmarkStart w:id="0" w:name="_Toc35449504"/>
      <w:r w:rsidRPr="0013216A">
        <w:rPr>
          <w:rFonts w:ascii="Times New Roman" w:hAnsi="Times New Roman" w:cs="Times New Roman"/>
          <w:b/>
          <w:sz w:val="32"/>
          <w:szCs w:val="32"/>
        </w:rPr>
        <w:lastRenderedPageBreak/>
        <w:t>Введение</w:t>
      </w:r>
      <w:bookmarkEnd w:id="0"/>
    </w:p>
    <w:p w:rsidR="005270F2" w:rsidRDefault="005270F2" w:rsidP="000B01BF">
      <w:pPr>
        <w:pStyle w:val="a3"/>
        <w:ind w:left="-567"/>
        <w:jc w:val="center"/>
        <w:outlineLvl w:val="0"/>
        <w:rPr>
          <w:rFonts w:ascii="Times New Roman" w:hAnsi="Times New Roman" w:cs="Times New Roman"/>
          <w:b/>
          <w:sz w:val="32"/>
          <w:szCs w:val="32"/>
        </w:rPr>
      </w:pPr>
    </w:p>
    <w:p w:rsidR="005270F2" w:rsidRPr="005270F2" w:rsidRDefault="005270F2" w:rsidP="005270F2">
      <w:pPr>
        <w:pStyle w:val="aa"/>
        <w:shd w:val="clear" w:color="auto" w:fill="FFFFFF"/>
        <w:spacing w:before="0" w:beforeAutospacing="0" w:after="285" w:afterAutospacing="0" w:line="360" w:lineRule="auto"/>
        <w:ind w:firstLine="709"/>
        <w:jc w:val="both"/>
        <w:rPr>
          <w:color w:val="000000"/>
          <w:sz w:val="28"/>
          <w:szCs w:val="28"/>
        </w:rPr>
      </w:pPr>
      <w:r w:rsidRPr="005270F2">
        <w:rPr>
          <w:color w:val="000000"/>
          <w:sz w:val="28"/>
          <w:szCs w:val="28"/>
        </w:rPr>
        <w:t>Денежное обращение играет определяющую роль в оживлении базовой экономики и воссоздании индустриального и научно - технического потенциала страны. Оно является одним из наиболее необходимых разделов экономической науки. Которое представляет собой нечто гораздо большее, чем просто обычный компонент экономической системы, а также инструмент, содействующий работе экономики в целом. Правильно сформулированное денежное обращение в первую очередь влияет на жизненную силу и круговорот доходов и расходов, который олицетворяет экономику. Если денежное обращение работает правильно, то оно способствует полному использованию своих мощностей, а также полной занятости или наоборот, плохо функционирующая денежная система может быть главной причиной резких колебаний уровня производства, занятости и цен в экономике, и даже снизить распределение ресурсов.</w:t>
      </w:r>
    </w:p>
    <w:p w:rsidR="005270F2" w:rsidRPr="005270F2" w:rsidRDefault="005270F2" w:rsidP="005270F2">
      <w:pPr>
        <w:pStyle w:val="aa"/>
        <w:shd w:val="clear" w:color="auto" w:fill="FFFFFF"/>
        <w:spacing w:before="0" w:beforeAutospacing="0" w:after="285" w:afterAutospacing="0" w:line="360" w:lineRule="auto"/>
        <w:ind w:firstLine="709"/>
        <w:jc w:val="both"/>
        <w:rPr>
          <w:color w:val="000000"/>
          <w:sz w:val="28"/>
          <w:szCs w:val="28"/>
        </w:rPr>
      </w:pPr>
      <w:r w:rsidRPr="005270F2">
        <w:rPr>
          <w:color w:val="000000"/>
          <w:sz w:val="28"/>
          <w:szCs w:val="28"/>
        </w:rPr>
        <w:t>На пороге XXI века усилилась роль финансовых и кредитных отношений. Стало видно, что достижение оптимального уровня таких макроэкономических показателей, как прирост реального ВВП, уровень безработицы, уровень инфляции, состояние платежного баланса, валютного курса, и других будет зависеть от равновесия финансово-кредитной и денежной системы страны.</w:t>
      </w:r>
    </w:p>
    <w:p w:rsidR="005270F2" w:rsidRPr="005270F2" w:rsidRDefault="005270F2" w:rsidP="005270F2">
      <w:pPr>
        <w:pStyle w:val="aa"/>
        <w:shd w:val="clear" w:color="auto" w:fill="FFFFFF"/>
        <w:spacing w:before="0" w:beforeAutospacing="0" w:after="285" w:afterAutospacing="0" w:line="360" w:lineRule="auto"/>
        <w:ind w:firstLine="709"/>
        <w:jc w:val="both"/>
        <w:rPr>
          <w:color w:val="000000"/>
          <w:sz w:val="28"/>
          <w:szCs w:val="28"/>
        </w:rPr>
      </w:pPr>
      <w:r w:rsidRPr="005270F2">
        <w:rPr>
          <w:color w:val="000000"/>
          <w:sz w:val="28"/>
          <w:szCs w:val="28"/>
        </w:rPr>
        <w:t>Для обеспечения нормального функционирования любой современной экономической системы особая роль принадлежит государству. На протяжении всей истории своего существования наряду с задачами поддержания порядка, законности, организации национальной обороны, государство выполняло определенные функции в сфере экономики.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5270F2" w:rsidRPr="005270F2" w:rsidRDefault="005270F2" w:rsidP="005270F2">
      <w:pPr>
        <w:pStyle w:val="aa"/>
        <w:shd w:val="clear" w:color="auto" w:fill="FFFFFF"/>
        <w:spacing w:before="0" w:beforeAutospacing="0" w:after="285" w:afterAutospacing="0" w:line="360" w:lineRule="auto"/>
        <w:ind w:firstLine="709"/>
        <w:jc w:val="both"/>
        <w:rPr>
          <w:color w:val="000000"/>
          <w:sz w:val="28"/>
          <w:szCs w:val="28"/>
        </w:rPr>
      </w:pPr>
      <w:r w:rsidRPr="005270F2">
        <w:rPr>
          <w:color w:val="000000"/>
          <w:sz w:val="28"/>
          <w:szCs w:val="28"/>
        </w:rPr>
        <w:lastRenderedPageBreak/>
        <w:t>Сфера денежного обращения и кредита играет значимую роль в регулировании экономических отношений и поэтому должна находиться под контролем государства, так как сбои в этой сфере неминуемо приводят к тяжелым экономическим последствиям. Формирование и функционирование системы государственного регулирования денежного хозяйства затрагивают как установление направлений характера и масштабов государственного участия, так и создание конкретного механизма воздействия. Детальная разработка такой проблематики, безусловно, чрезвычайно важна, особенно в период перехода к новым условиям хозяйствования, однако она значительно расширяет предмет данного исследования. Поэтому, учитывая, что одним из ключевых вопросов, относящихся к изучению названных проблем является вопрос выборе инструментария государственного управления, с помощью которого оказывается конкретное воздействие на денежное обращение, рассмотрим именно этот компонент системы государственного регулирования или, иными словами, как и с помощью чего государство может регулировать денежные отношения.</w:t>
      </w:r>
    </w:p>
    <w:p w:rsidR="005270F2" w:rsidRPr="005270F2" w:rsidRDefault="005270F2" w:rsidP="005270F2">
      <w:pPr>
        <w:pStyle w:val="aa"/>
        <w:shd w:val="clear" w:color="auto" w:fill="FFFFFF"/>
        <w:spacing w:before="0" w:beforeAutospacing="0" w:after="285" w:afterAutospacing="0" w:line="360" w:lineRule="auto"/>
        <w:ind w:firstLine="709"/>
        <w:jc w:val="both"/>
        <w:rPr>
          <w:color w:val="000000"/>
          <w:sz w:val="28"/>
          <w:szCs w:val="28"/>
        </w:rPr>
      </w:pPr>
      <w:r w:rsidRPr="005270F2">
        <w:rPr>
          <w:color w:val="000000"/>
          <w:sz w:val="28"/>
          <w:szCs w:val="28"/>
        </w:rPr>
        <w:t>Сложность современной экономической ситуации показывает необходимость уточнения содержания денежно-кредитной политики, обоснования ее целевых ориентиров, и степени его развития в российской экономике. Все сказанное придает особую актуальность и значимость выбранной темы курсовой работы.</w:t>
      </w:r>
    </w:p>
    <w:p w:rsidR="005270F2" w:rsidRPr="005270F2" w:rsidRDefault="005270F2" w:rsidP="005270F2">
      <w:pPr>
        <w:pStyle w:val="a3"/>
        <w:ind w:left="-567"/>
        <w:outlineLvl w:val="0"/>
        <w:rPr>
          <w:rFonts w:ascii="Times New Roman" w:hAnsi="Times New Roman" w:cs="Times New Roman"/>
          <w:sz w:val="28"/>
          <w:szCs w:val="28"/>
        </w:rPr>
      </w:pPr>
    </w:p>
    <w:p w:rsidR="0013216A" w:rsidRPr="0013216A" w:rsidRDefault="0013216A" w:rsidP="000B01BF">
      <w:pPr>
        <w:jc w:val="center"/>
        <w:rPr>
          <w:rFonts w:ascii="Times New Roman" w:hAnsi="Times New Roman" w:cs="Times New Roman"/>
          <w:b/>
          <w:sz w:val="32"/>
          <w:szCs w:val="32"/>
        </w:rPr>
      </w:pPr>
      <w:r w:rsidRPr="0013216A">
        <w:rPr>
          <w:rFonts w:ascii="Times New Roman" w:hAnsi="Times New Roman" w:cs="Times New Roman"/>
          <w:b/>
          <w:sz w:val="32"/>
          <w:szCs w:val="32"/>
        </w:rPr>
        <w:br w:type="page"/>
      </w:r>
    </w:p>
    <w:p w:rsidR="0013216A" w:rsidRPr="0013216A" w:rsidRDefault="0013216A" w:rsidP="000B01BF">
      <w:pPr>
        <w:pStyle w:val="a3"/>
        <w:jc w:val="center"/>
        <w:outlineLvl w:val="0"/>
        <w:rPr>
          <w:rFonts w:ascii="Times New Roman" w:hAnsi="Times New Roman" w:cs="Times New Roman"/>
          <w:b/>
          <w:sz w:val="32"/>
          <w:szCs w:val="32"/>
        </w:rPr>
      </w:pPr>
    </w:p>
    <w:p w:rsidR="0013216A" w:rsidRPr="0013216A" w:rsidRDefault="0013216A" w:rsidP="000B01BF">
      <w:pPr>
        <w:pStyle w:val="a3"/>
        <w:numPr>
          <w:ilvl w:val="0"/>
          <w:numId w:val="1"/>
        </w:numPr>
        <w:jc w:val="center"/>
        <w:rPr>
          <w:rFonts w:ascii="Times New Roman" w:hAnsi="Times New Roman" w:cs="Times New Roman"/>
          <w:b/>
          <w:sz w:val="32"/>
          <w:szCs w:val="32"/>
        </w:rPr>
      </w:pPr>
      <w:bookmarkStart w:id="1" w:name="_Toc35449505"/>
      <w:r w:rsidRPr="0013216A">
        <w:rPr>
          <w:rFonts w:ascii="Times New Roman" w:hAnsi="Times New Roman" w:cs="Times New Roman"/>
          <w:b/>
          <w:sz w:val="32"/>
          <w:szCs w:val="32"/>
        </w:rPr>
        <w:t>Теоретические основы организации денежного обращения в РФ.</w:t>
      </w:r>
      <w:bookmarkEnd w:id="1"/>
    </w:p>
    <w:p w:rsidR="0013216A" w:rsidRPr="0013216A" w:rsidRDefault="0013216A" w:rsidP="000B01BF">
      <w:pPr>
        <w:pStyle w:val="a3"/>
        <w:numPr>
          <w:ilvl w:val="1"/>
          <w:numId w:val="1"/>
        </w:numPr>
        <w:jc w:val="center"/>
        <w:outlineLvl w:val="1"/>
        <w:rPr>
          <w:rFonts w:ascii="Times New Roman" w:hAnsi="Times New Roman" w:cs="Times New Roman"/>
          <w:b/>
          <w:sz w:val="32"/>
          <w:szCs w:val="32"/>
        </w:rPr>
      </w:pPr>
      <w:bookmarkStart w:id="2" w:name="_Toc35449506"/>
      <w:r w:rsidRPr="0013216A">
        <w:rPr>
          <w:rFonts w:ascii="Times New Roman" w:hAnsi="Times New Roman" w:cs="Times New Roman"/>
          <w:b/>
          <w:sz w:val="32"/>
          <w:szCs w:val="32"/>
        </w:rPr>
        <w:t>Правовая и законодательная база денежного обращения в РФ.</w:t>
      </w:r>
      <w:bookmarkEnd w:id="2"/>
    </w:p>
    <w:p w:rsidR="0013216A" w:rsidRPr="0013216A" w:rsidRDefault="0013216A" w:rsidP="000B01BF">
      <w:pPr>
        <w:jc w:val="center"/>
        <w:rPr>
          <w:rFonts w:ascii="Times New Roman" w:hAnsi="Times New Roman" w:cs="Times New Roman"/>
          <w:b/>
          <w:sz w:val="32"/>
          <w:szCs w:val="32"/>
        </w:rPr>
      </w:pPr>
      <w:r w:rsidRPr="0013216A">
        <w:rPr>
          <w:rFonts w:ascii="Times New Roman" w:hAnsi="Times New Roman" w:cs="Times New Roman"/>
          <w:b/>
          <w:sz w:val="32"/>
          <w:szCs w:val="32"/>
        </w:rPr>
        <w:br w:type="page"/>
      </w:r>
    </w:p>
    <w:p w:rsidR="0013216A" w:rsidRPr="0013216A" w:rsidRDefault="0013216A" w:rsidP="000B01BF">
      <w:pPr>
        <w:pStyle w:val="a3"/>
        <w:numPr>
          <w:ilvl w:val="1"/>
          <w:numId w:val="1"/>
        </w:numPr>
        <w:outlineLvl w:val="1"/>
        <w:rPr>
          <w:rFonts w:ascii="Times New Roman" w:hAnsi="Times New Roman" w:cs="Times New Roman"/>
          <w:b/>
          <w:sz w:val="32"/>
          <w:szCs w:val="32"/>
        </w:rPr>
      </w:pPr>
      <w:bookmarkStart w:id="3" w:name="_Toc35449507"/>
      <w:r w:rsidRPr="0013216A">
        <w:rPr>
          <w:rFonts w:ascii="Times New Roman" w:hAnsi="Times New Roman" w:cs="Times New Roman"/>
          <w:b/>
          <w:sz w:val="32"/>
          <w:szCs w:val="32"/>
        </w:rPr>
        <w:lastRenderedPageBreak/>
        <w:t>Деньги и денежная масса: сущность и функции</w:t>
      </w:r>
      <w:bookmarkEnd w:id="3"/>
    </w:p>
    <w:p w:rsidR="0013216A" w:rsidRPr="0013216A" w:rsidRDefault="0013216A" w:rsidP="000B01BF">
      <w:pPr>
        <w:jc w:val="center"/>
        <w:rPr>
          <w:rFonts w:ascii="Times New Roman" w:hAnsi="Times New Roman" w:cs="Times New Roman"/>
          <w:b/>
          <w:sz w:val="32"/>
          <w:szCs w:val="32"/>
        </w:rPr>
      </w:pPr>
      <w:r w:rsidRPr="0013216A">
        <w:rPr>
          <w:rFonts w:ascii="Times New Roman" w:hAnsi="Times New Roman" w:cs="Times New Roman"/>
          <w:b/>
          <w:sz w:val="32"/>
          <w:szCs w:val="32"/>
        </w:rPr>
        <w:br w:type="page"/>
      </w:r>
    </w:p>
    <w:p w:rsidR="0013216A" w:rsidRPr="0013216A" w:rsidRDefault="0013216A" w:rsidP="000B01BF">
      <w:pPr>
        <w:pStyle w:val="a3"/>
        <w:numPr>
          <w:ilvl w:val="1"/>
          <w:numId w:val="1"/>
        </w:numPr>
        <w:outlineLvl w:val="1"/>
        <w:rPr>
          <w:rFonts w:ascii="Times New Roman" w:hAnsi="Times New Roman" w:cs="Times New Roman"/>
          <w:b/>
          <w:sz w:val="32"/>
          <w:szCs w:val="32"/>
        </w:rPr>
      </w:pPr>
      <w:bookmarkStart w:id="4" w:name="_Toc35449508"/>
      <w:r w:rsidRPr="0013216A">
        <w:rPr>
          <w:rFonts w:ascii="Times New Roman" w:hAnsi="Times New Roman" w:cs="Times New Roman"/>
          <w:b/>
          <w:sz w:val="32"/>
          <w:szCs w:val="32"/>
        </w:rPr>
        <w:lastRenderedPageBreak/>
        <w:t>Характеристика денежного обращения РФ.</w:t>
      </w:r>
      <w:bookmarkEnd w:id="4"/>
    </w:p>
    <w:p w:rsidR="0013216A" w:rsidRPr="0013216A" w:rsidRDefault="0013216A" w:rsidP="000B01BF">
      <w:pPr>
        <w:jc w:val="center"/>
        <w:rPr>
          <w:rFonts w:ascii="Times New Roman" w:hAnsi="Times New Roman" w:cs="Times New Roman"/>
          <w:b/>
          <w:sz w:val="32"/>
          <w:szCs w:val="32"/>
        </w:rPr>
      </w:pPr>
      <w:r w:rsidRPr="0013216A">
        <w:rPr>
          <w:rFonts w:ascii="Times New Roman" w:hAnsi="Times New Roman" w:cs="Times New Roman"/>
          <w:b/>
          <w:sz w:val="32"/>
          <w:szCs w:val="32"/>
        </w:rPr>
        <w:br w:type="page"/>
      </w:r>
    </w:p>
    <w:p w:rsidR="0013216A" w:rsidRPr="0013216A" w:rsidRDefault="0013216A" w:rsidP="000B01BF">
      <w:pPr>
        <w:pStyle w:val="a3"/>
        <w:numPr>
          <w:ilvl w:val="0"/>
          <w:numId w:val="1"/>
        </w:numPr>
        <w:jc w:val="center"/>
        <w:outlineLvl w:val="0"/>
        <w:rPr>
          <w:rFonts w:ascii="Times New Roman" w:hAnsi="Times New Roman" w:cs="Times New Roman"/>
          <w:b/>
          <w:sz w:val="32"/>
          <w:szCs w:val="32"/>
        </w:rPr>
      </w:pPr>
      <w:bookmarkStart w:id="5" w:name="_Toc35449509"/>
      <w:r w:rsidRPr="0013216A">
        <w:rPr>
          <w:rFonts w:ascii="Times New Roman" w:hAnsi="Times New Roman" w:cs="Times New Roman"/>
          <w:b/>
          <w:sz w:val="32"/>
          <w:szCs w:val="32"/>
        </w:rPr>
        <w:lastRenderedPageBreak/>
        <w:t>Анализ эффективности регулирования денежного обращения в РФ.</w:t>
      </w:r>
      <w:bookmarkEnd w:id="5"/>
    </w:p>
    <w:p w:rsidR="000B01BF" w:rsidRDefault="0013216A" w:rsidP="000B01BF">
      <w:pPr>
        <w:pStyle w:val="a3"/>
        <w:numPr>
          <w:ilvl w:val="1"/>
          <w:numId w:val="1"/>
        </w:numPr>
        <w:jc w:val="center"/>
        <w:outlineLvl w:val="1"/>
        <w:rPr>
          <w:rFonts w:ascii="Times New Roman" w:hAnsi="Times New Roman" w:cs="Times New Roman"/>
          <w:b/>
          <w:sz w:val="32"/>
          <w:szCs w:val="32"/>
        </w:rPr>
      </w:pPr>
      <w:bookmarkStart w:id="6" w:name="_Toc35449510"/>
      <w:r w:rsidRPr="0013216A">
        <w:rPr>
          <w:rFonts w:ascii="Times New Roman" w:hAnsi="Times New Roman" w:cs="Times New Roman"/>
          <w:b/>
          <w:sz w:val="32"/>
          <w:szCs w:val="32"/>
        </w:rPr>
        <w:t>Центральный банк- основной регулятор денежного обращения</w:t>
      </w:r>
      <w:bookmarkEnd w:id="6"/>
    </w:p>
    <w:p w:rsidR="000B01BF" w:rsidRPr="000B01BF" w:rsidRDefault="000B01BF" w:rsidP="000B01BF">
      <w:pPr>
        <w:jc w:val="center"/>
        <w:outlineLvl w:val="1"/>
        <w:rPr>
          <w:rFonts w:ascii="Times New Roman" w:hAnsi="Times New Roman" w:cs="Times New Roman"/>
          <w:b/>
          <w:sz w:val="32"/>
          <w:szCs w:val="32"/>
        </w:rPr>
      </w:pP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Денежное обращение представляет собой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другие финансовые и денежные операции в рамках хозяйственных связей субъектов экономики.</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Ключевым и главным регулятором денежного обращения в России является Центральный банк, а именно, Банк России, задача которого управление денежной массой, как одним из важнейших показателей, характеризующих денежное обращение в Российской Федерации.</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Денежная масса представляет собой сумму платежных средств в экономике страны, совокупный объем наличных денег и денег безналичного оборота [1].</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sidRPr="006455B4">
        <w:rPr>
          <w:rFonts w:ascii="Times New Roman" w:eastAsia="Times New Roman" w:hAnsi="Times New Roman" w:cs="Times New Roman"/>
          <w:sz w:val="28"/>
          <w:szCs w:val="28"/>
        </w:rPr>
        <w:t>Роль денежной массы и ее управления на высоком уровне</w:t>
      </w:r>
      <w:r>
        <w:rPr>
          <w:rFonts w:ascii="Times New Roman" w:eastAsia="Times New Roman" w:hAnsi="Times New Roman" w:cs="Times New Roman"/>
          <w:sz w:val="28"/>
          <w:szCs w:val="28"/>
        </w:rPr>
        <w:t>, поскольку объем денежного обращения обеспечивает производственную и инвестиционную активность предприятий, их ценовую политику, динамику на рынке процентных ставок, формирует рынок труда и занятости [3].</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Денежное обращение в России является неотъемлемой частью денежно-кредитной и банковской системы страны. Функционирование финансовых рынков невозможно без должного обеспечения денежного обращения в стране. Причиной тому является структура денежной массы, в которую входят валютные депозиты, рублевые депозиты, переоценка валютных депозитов и наличные рубли (рисунок 1).</w:t>
      </w:r>
    </w:p>
    <w:p w:rsidR="000B01BF" w:rsidRDefault="000B01BF" w:rsidP="000B01BF">
      <w:pPr>
        <w:spacing w:before="240" w:line="360" w:lineRule="auto"/>
        <w:jc w:val="center"/>
        <w:rPr>
          <w:rFonts w:ascii="Times New Roman" w:eastAsia="Times New Roman" w:hAnsi="Times New Roman" w:cs="Times New Roman"/>
          <w:sz w:val="28"/>
          <w:szCs w:val="28"/>
        </w:rPr>
      </w:pPr>
      <w:r>
        <w:rPr>
          <w:noProof/>
          <w:lang w:eastAsia="ru-RU"/>
        </w:rPr>
        <w:lastRenderedPageBreak/>
        <w:drawing>
          <wp:inline distT="0" distB="0" distL="0" distR="0" wp14:anchorId="4B5752D2" wp14:editId="70110D71">
            <wp:extent cx="5972175" cy="2819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2819400"/>
                    </a:xfrm>
                    <a:prstGeom prst="rect">
                      <a:avLst/>
                    </a:prstGeom>
                  </pic:spPr>
                </pic:pic>
              </a:graphicData>
            </a:graphic>
          </wp:inline>
        </w:drawing>
      </w:r>
    </w:p>
    <w:p w:rsidR="000B01BF" w:rsidRPr="006455B4" w:rsidRDefault="000B01BF" w:rsidP="000B01BF">
      <w:pPr>
        <w:spacing w:before="240" w:line="360" w:lineRule="auto"/>
        <w:jc w:val="center"/>
        <w:rPr>
          <w:rFonts w:ascii="Times New Roman" w:eastAsia="Times New Roman" w:hAnsi="Times New Roman" w:cs="Times New Roman"/>
          <w:b/>
          <w:sz w:val="28"/>
          <w:szCs w:val="28"/>
        </w:rPr>
      </w:pPr>
      <w:r w:rsidRPr="006455B4">
        <w:rPr>
          <w:rFonts w:ascii="Times New Roman" w:eastAsia="Times New Roman" w:hAnsi="Times New Roman" w:cs="Times New Roman"/>
          <w:b/>
          <w:sz w:val="28"/>
          <w:szCs w:val="28"/>
        </w:rPr>
        <w:t xml:space="preserve">Рисунок </w:t>
      </w:r>
      <w:r>
        <w:rPr>
          <w:rFonts w:ascii="Times New Roman" w:eastAsia="Times New Roman" w:hAnsi="Times New Roman" w:cs="Times New Roman"/>
          <w:b/>
          <w:sz w:val="28"/>
          <w:szCs w:val="28"/>
        </w:rPr>
        <w:t>1 – Динамика широкой денежной массы Российской Федерации и вклад каждого компонента, в %</w:t>
      </w:r>
      <w:r w:rsidRPr="006455B4">
        <w:rPr>
          <w:rFonts w:ascii="Times New Roman" w:eastAsia="Times New Roman" w:hAnsi="Times New Roman" w:cs="Times New Roman"/>
          <w:b/>
          <w:sz w:val="28"/>
          <w:szCs w:val="28"/>
        </w:rPr>
        <w:t xml:space="preserve"> [</w:t>
      </w:r>
      <w:r w:rsidRPr="0029527B">
        <w:rPr>
          <w:rFonts w:ascii="Times New Roman" w:eastAsia="Times New Roman" w:hAnsi="Times New Roman" w:cs="Times New Roman"/>
          <w:b/>
          <w:sz w:val="28"/>
          <w:szCs w:val="28"/>
        </w:rPr>
        <w:t>4</w:t>
      </w:r>
      <w:r w:rsidRPr="006455B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анализа рисунка 1, необходимо заметить, что в период 2016 – 2018 гг., наблюдалось замедление темпов прироста денежной массы в стране, что связано с отрицательной переоценкой валютных депозитов (в случае укрепления рубля – происходил обратный процесс отрицательной переоценки валютных вкладов населения и организаций).</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день, рынок денежного обращения формируется из двух ключевых элементов:</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безналичное денежное обращение;</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наличное денежное обращение.</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официальной статистике со стороны Банка России, как регулятора денежного обращения в РФ, динамика наличной денежной массы за последнее время продемонстрировала свой рост (</w:t>
      </w:r>
      <w:r w:rsidRPr="006455B4">
        <w:rPr>
          <w:rFonts w:ascii="Times New Roman" w:eastAsia="Times New Roman" w:hAnsi="Times New Roman" w:cs="Times New Roman"/>
          <w:sz w:val="28"/>
          <w:szCs w:val="28"/>
        </w:rPr>
        <w:t>рисунок</w:t>
      </w:r>
      <w:r>
        <w:rPr>
          <w:rFonts w:ascii="Times New Roman" w:eastAsia="Times New Roman" w:hAnsi="Times New Roman" w:cs="Times New Roman"/>
          <w:sz w:val="28"/>
          <w:szCs w:val="28"/>
        </w:rPr>
        <w:t xml:space="preserve"> 2).</w:t>
      </w:r>
    </w:p>
    <w:p w:rsidR="000B01BF" w:rsidRPr="006455B4" w:rsidRDefault="000B01BF" w:rsidP="000B01BF">
      <w:pPr>
        <w:spacing w:before="240" w:line="360" w:lineRule="auto"/>
        <w:jc w:val="center"/>
        <w:rPr>
          <w:rFonts w:ascii="Times New Roman" w:eastAsia="Times New Roman" w:hAnsi="Times New Roman" w:cs="Times New Roman"/>
          <w:b/>
          <w:sz w:val="28"/>
          <w:szCs w:val="28"/>
        </w:rPr>
      </w:pPr>
      <w:r w:rsidRPr="006455B4">
        <w:rPr>
          <w:b/>
          <w:noProof/>
          <w:lang w:eastAsia="ru-RU"/>
        </w:rPr>
        <w:lastRenderedPageBreak/>
        <w:drawing>
          <wp:inline distT="0" distB="0" distL="0" distR="0" wp14:anchorId="593D8902" wp14:editId="28BDED5E">
            <wp:extent cx="6096000" cy="33623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096000" cy="3362325"/>
                    </a:xfrm>
                    <a:prstGeom prst="rect">
                      <a:avLst/>
                    </a:prstGeom>
                    <a:ln/>
                  </pic:spPr>
                </pic:pic>
              </a:graphicData>
            </a:graphic>
          </wp:inline>
        </w:drawing>
      </w:r>
    </w:p>
    <w:p w:rsidR="000B01BF" w:rsidRPr="0016591A" w:rsidRDefault="000B01BF" w:rsidP="000B01BF">
      <w:pPr>
        <w:spacing w:before="240" w:line="360" w:lineRule="auto"/>
        <w:jc w:val="center"/>
        <w:rPr>
          <w:rFonts w:ascii="Times New Roman" w:eastAsia="Times New Roman" w:hAnsi="Times New Roman" w:cs="Times New Roman"/>
          <w:b/>
          <w:sz w:val="28"/>
          <w:szCs w:val="28"/>
        </w:rPr>
      </w:pPr>
      <w:r w:rsidRPr="006455B4">
        <w:rPr>
          <w:rFonts w:ascii="Times New Roman" w:eastAsia="Times New Roman" w:hAnsi="Times New Roman" w:cs="Times New Roman"/>
          <w:b/>
          <w:sz w:val="28"/>
          <w:szCs w:val="28"/>
        </w:rPr>
        <w:t xml:space="preserve">Рисунок </w:t>
      </w:r>
      <w:r>
        <w:rPr>
          <w:rFonts w:ascii="Times New Roman" w:eastAsia="Times New Roman" w:hAnsi="Times New Roman" w:cs="Times New Roman"/>
          <w:b/>
          <w:sz w:val="28"/>
          <w:szCs w:val="28"/>
        </w:rPr>
        <w:t xml:space="preserve">2 – </w:t>
      </w:r>
      <w:r w:rsidRPr="006455B4">
        <w:rPr>
          <w:rFonts w:ascii="Times New Roman" w:eastAsia="Times New Roman" w:hAnsi="Times New Roman" w:cs="Times New Roman"/>
          <w:b/>
          <w:sz w:val="28"/>
          <w:szCs w:val="28"/>
        </w:rPr>
        <w:t>Изменение количества денежной массы в России с 01.01.2018 по 01.01.2019, млрд рублей [2]</w:t>
      </w:r>
      <w:r>
        <w:rPr>
          <w:rFonts w:ascii="Times New Roman" w:eastAsia="Times New Roman" w:hAnsi="Times New Roman" w:cs="Times New Roman"/>
          <w:b/>
          <w:sz w:val="28"/>
          <w:szCs w:val="28"/>
        </w:rPr>
        <w:t>.</w:t>
      </w:r>
    </w:p>
    <w:p w:rsidR="000B01BF" w:rsidRDefault="000B01BF" w:rsidP="000B01BF">
      <w:pPr>
        <w:spacing w:before="240" w:line="360" w:lineRule="auto"/>
        <w:ind w:firstLine="709"/>
        <w:jc w:val="both"/>
        <w:rPr>
          <w:rFonts w:ascii="Times New Roman" w:eastAsia="Times New Roman" w:hAnsi="Times New Roman" w:cs="Times New Roman"/>
          <w:sz w:val="28"/>
          <w:szCs w:val="28"/>
        </w:rPr>
      </w:pPr>
      <w:r w:rsidRPr="006455B4">
        <w:rPr>
          <w:rFonts w:ascii="Times New Roman" w:eastAsia="Times New Roman" w:hAnsi="Times New Roman" w:cs="Times New Roman"/>
          <w:sz w:val="28"/>
          <w:szCs w:val="28"/>
        </w:rPr>
        <w:t>Важность анализа динамики наличной денежной массы объясняется тем, что именно наличные деньги являются главным инструментом при совершении платежных и финансовых транзакций</w:t>
      </w:r>
      <w:r>
        <w:rPr>
          <w:rFonts w:ascii="Times New Roman" w:eastAsia="Times New Roman" w:hAnsi="Times New Roman" w:cs="Times New Roman"/>
          <w:sz w:val="28"/>
          <w:szCs w:val="28"/>
        </w:rPr>
        <w:t xml:space="preserve"> между предприятиями и потребителями. По данным Банка России, доля наличного денежного обращения в содействии финансовых и платежных транзакций составляет 80,9%.</w:t>
      </w:r>
    </w:p>
    <w:p w:rsidR="000B01BF" w:rsidRDefault="000B01BF" w:rsidP="000B01BF">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Также, важно заметить, что одним из ключевых факторов развития денежного обращения в Российской Федерации является скорость оборачиваемости денег в кругообороте дохода и в платежном обороте. На данный индикатор влияют факторы двух групп:</w:t>
      </w:r>
    </w:p>
    <w:p w:rsidR="000B01BF" w:rsidRDefault="000B01BF" w:rsidP="000B01BF">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общеэкономические факторы;</w:t>
      </w:r>
    </w:p>
    <w:p w:rsidR="000B01BF" w:rsidRDefault="000B01BF" w:rsidP="000B01BF">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монетарные факторы.</w:t>
      </w:r>
    </w:p>
    <w:p w:rsidR="000B01BF" w:rsidRDefault="000B01BF" w:rsidP="000B01BF">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 этом, группа монетарных факторов развития денежного обращения в России полностью зависят от действия ЦБ РФ, который, в рамках своей </w:t>
      </w:r>
      <w:r>
        <w:rPr>
          <w:rFonts w:ascii="Times New Roman" w:eastAsia="Times New Roman" w:hAnsi="Times New Roman" w:cs="Times New Roman"/>
          <w:sz w:val="28"/>
          <w:szCs w:val="28"/>
        </w:rPr>
        <w:lastRenderedPageBreak/>
        <w:t>денежно-кредитной политики, регулирует объемом денежной массы, применяя для этого определенные инструменты трансмиссионного механизма, среди которых, эмиссия национальной денежной единицы, проведение операций РЕПО или просто изменение уровня процентной ставки рефинансирования для коммерческих банков, что играет важную роль при определении дальнейшего вектора развития денежного обращения в нашей стране.</w:t>
      </w:r>
    </w:p>
    <w:p w:rsidR="000B01BF" w:rsidRDefault="000B01BF" w:rsidP="000B01BF">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Таким образом, подводя итоги научного исследования, можно сделать следующие выводы:</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денежное обращение представляет собой движение денег во внутреннем экономическом обороте страны;</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ключевым индикатором/показателем развития денежного обращения в стране является объем наличной и безналичной денежной массы;</w:t>
      </w:r>
    </w:p>
    <w:p w:rsidR="000B01BF" w:rsidRDefault="000B01BF" w:rsidP="000B01BF">
      <w:pPr>
        <w:spacing w:before="24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Банк России – главный регулятор денежного обращения в стране, осуществляя ее управлением, путем воздействия на группу монетарных факторов.</w:t>
      </w:r>
    </w:p>
    <w:p w:rsidR="0013216A" w:rsidRPr="0013216A" w:rsidRDefault="0013216A" w:rsidP="000B01BF">
      <w:pPr>
        <w:jc w:val="center"/>
        <w:rPr>
          <w:rFonts w:ascii="Times New Roman" w:hAnsi="Times New Roman" w:cs="Times New Roman"/>
          <w:b/>
          <w:sz w:val="32"/>
          <w:szCs w:val="32"/>
        </w:rPr>
      </w:pPr>
      <w:r w:rsidRPr="0013216A">
        <w:rPr>
          <w:rFonts w:ascii="Times New Roman" w:hAnsi="Times New Roman" w:cs="Times New Roman"/>
          <w:b/>
          <w:sz w:val="32"/>
          <w:szCs w:val="32"/>
        </w:rPr>
        <w:br w:type="page"/>
      </w:r>
    </w:p>
    <w:p w:rsidR="00414DC1" w:rsidRDefault="0013216A" w:rsidP="00414DC1">
      <w:pPr>
        <w:pStyle w:val="a3"/>
        <w:numPr>
          <w:ilvl w:val="1"/>
          <w:numId w:val="1"/>
        </w:numPr>
        <w:jc w:val="center"/>
        <w:outlineLvl w:val="1"/>
        <w:rPr>
          <w:rFonts w:ascii="Times New Roman" w:hAnsi="Times New Roman" w:cs="Times New Roman"/>
          <w:b/>
          <w:sz w:val="32"/>
          <w:szCs w:val="32"/>
        </w:rPr>
      </w:pPr>
      <w:bookmarkStart w:id="7" w:name="_Toc35449511"/>
      <w:r w:rsidRPr="0013216A">
        <w:rPr>
          <w:rFonts w:ascii="Times New Roman" w:hAnsi="Times New Roman" w:cs="Times New Roman"/>
          <w:b/>
          <w:sz w:val="32"/>
          <w:szCs w:val="32"/>
        </w:rPr>
        <w:lastRenderedPageBreak/>
        <w:t>Монетарная полити</w:t>
      </w:r>
      <w:r w:rsidR="00414DC1">
        <w:rPr>
          <w:rFonts w:ascii="Times New Roman" w:hAnsi="Times New Roman" w:cs="Times New Roman"/>
          <w:b/>
          <w:sz w:val="32"/>
          <w:szCs w:val="32"/>
        </w:rPr>
        <w:t xml:space="preserve">ка государства и ее инструменты </w:t>
      </w:r>
      <w:bookmarkStart w:id="8" w:name="_GoBack"/>
      <w:bookmarkEnd w:id="8"/>
      <w:r w:rsidRPr="0013216A">
        <w:rPr>
          <w:rFonts w:ascii="Times New Roman" w:hAnsi="Times New Roman" w:cs="Times New Roman"/>
          <w:b/>
          <w:sz w:val="32"/>
          <w:szCs w:val="32"/>
        </w:rPr>
        <w:t>в рыночной экономике</w:t>
      </w:r>
      <w:bookmarkEnd w:id="7"/>
    </w:p>
    <w:p w:rsidR="00414DC1" w:rsidRPr="00414DC1" w:rsidRDefault="00414DC1" w:rsidP="00414DC1">
      <w:pPr>
        <w:jc w:val="center"/>
        <w:outlineLvl w:val="1"/>
        <w:rPr>
          <w:rFonts w:ascii="Times New Roman" w:hAnsi="Times New Roman" w:cs="Times New Roman"/>
          <w:b/>
          <w:sz w:val="32"/>
          <w:szCs w:val="32"/>
        </w:rPr>
      </w:pPr>
    </w:p>
    <w:p w:rsidR="00414DC1" w:rsidRPr="00414DC1" w:rsidRDefault="00414DC1" w:rsidP="00414DC1">
      <w:pPr>
        <w:spacing w:line="360" w:lineRule="auto"/>
        <w:ind w:firstLine="709"/>
        <w:jc w:val="both"/>
        <w:outlineLvl w:val="1"/>
        <w:rPr>
          <w:rFonts w:ascii="Times New Roman" w:hAnsi="Times New Roman" w:cs="Times New Roman"/>
          <w:b/>
          <w:sz w:val="28"/>
          <w:szCs w:val="28"/>
        </w:rPr>
      </w:pPr>
      <w:r w:rsidRPr="00414DC1">
        <w:rPr>
          <w:rFonts w:ascii="Times New Roman" w:hAnsi="Times New Roman" w:cs="Times New Roman"/>
          <w:color w:val="000000"/>
          <w:sz w:val="28"/>
          <w:szCs w:val="28"/>
        </w:rPr>
        <w:t>Монетарная (денежно-кредитная) политика представляет собой один из элементов единой государственной экономической политики наряду с социальной, институциональной, структурной, инвестиционной, бюджетно-налоговой, научно-технической, внешнеэкономической политикой. Высшая цель денежно-кредитной политики: обеспечение результативной занятости, постоянство цен и увеличение реального объема ВНП. Цель достигается при поддержке мероприятий в рамках денежно-кредитной политики, которые осуществляются продолжительный период, рассчитаны не на один день и не являются стремительной реакцией на видоизменение рыночной конъюнктуры. Монетарная политика - это основное назначение экономической политики страны. Эта политика обязана быть «занесена» во всеобщую цель формирования национальной экономики и содействовать достижению макроэкономического равновесия.</w:t>
      </w:r>
    </w:p>
    <w:p w:rsidR="0013216A" w:rsidRPr="00414DC1" w:rsidRDefault="00414DC1" w:rsidP="00414DC1">
      <w:pPr>
        <w:pStyle w:val="aa"/>
        <w:shd w:val="clear" w:color="auto" w:fill="FFFFFF"/>
        <w:spacing w:before="0" w:beforeAutospacing="0" w:after="285" w:afterAutospacing="0" w:line="360" w:lineRule="auto"/>
        <w:ind w:firstLine="709"/>
        <w:jc w:val="both"/>
        <w:rPr>
          <w:color w:val="000000"/>
          <w:sz w:val="28"/>
          <w:szCs w:val="28"/>
        </w:rPr>
      </w:pPr>
      <w:r w:rsidRPr="00414DC1">
        <w:rPr>
          <w:color w:val="000000"/>
          <w:sz w:val="28"/>
          <w:szCs w:val="28"/>
        </w:rPr>
        <w:t>В современных условиях практически во всех странах центральный банк является главным банком страны, деятельность которого обусловлена развитием экономики, банковского дела и закреплена законодательно. В России деятельность Центрального банка РФ - Банка России - помимо общих федеральных законов, регламентирующих различные экономические отношения, регулирует специальный Закон «О Центральном Банке РФ (Банке России)» № 86-ФЗ от 10 июля 2002 года. Основные цели деятельности главного банка, к которым законодатель относит защиту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В соответствии с целями своей деятельности Банк России осуществляет определенные законом функции и проводит операции по их реализации, что призвано способствовать экономическому росту в стране.</w:t>
      </w:r>
    </w:p>
    <w:p w:rsidR="0013216A" w:rsidRPr="0013216A" w:rsidRDefault="0013216A" w:rsidP="000B01BF">
      <w:pPr>
        <w:pStyle w:val="1"/>
        <w:jc w:val="center"/>
        <w:rPr>
          <w:rFonts w:ascii="Times New Roman" w:hAnsi="Times New Roman" w:cs="Times New Roman"/>
          <w:b/>
          <w:color w:val="auto"/>
        </w:rPr>
      </w:pPr>
      <w:bookmarkStart w:id="9" w:name="_Toc35449512"/>
      <w:r w:rsidRPr="0013216A">
        <w:rPr>
          <w:rFonts w:ascii="Times New Roman" w:hAnsi="Times New Roman" w:cs="Times New Roman"/>
          <w:b/>
          <w:color w:val="auto"/>
        </w:rPr>
        <w:lastRenderedPageBreak/>
        <w:t>Заключение</w:t>
      </w:r>
      <w:bookmarkEnd w:id="9"/>
    </w:p>
    <w:p w:rsidR="0013216A" w:rsidRPr="0013216A" w:rsidRDefault="0013216A" w:rsidP="000B01BF">
      <w:pPr>
        <w:jc w:val="center"/>
        <w:rPr>
          <w:rFonts w:ascii="Times New Roman" w:eastAsiaTheme="majorEastAsia" w:hAnsi="Times New Roman" w:cs="Times New Roman"/>
          <w:b/>
          <w:sz w:val="32"/>
          <w:szCs w:val="32"/>
        </w:rPr>
      </w:pPr>
      <w:r w:rsidRPr="0013216A">
        <w:rPr>
          <w:rFonts w:ascii="Times New Roman" w:hAnsi="Times New Roman" w:cs="Times New Roman"/>
          <w:b/>
          <w:sz w:val="32"/>
          <w:szCs w:val="32"/>
        </w:rPr>
        <w:br w:type="page"/>
      </w:r>
    </w:p>
    <w:p w:rsidR="0013216A" w:rsidRPr="0013216A" w:rsidRDefault="0013216A" w:rsidP="000B01BF">
      <w:pPr>
        <w:pStyle w:val="1"/>
        <w:jc w:val="center"/>
        <w:rPr>
          <w:rFonts w:ascii="Times New Roman" w:hAnsi="Times New Roman" w:cs="Times New Roman"/>
          <w:b/>
          <w:color w:val="auto"/>
        </w:rPr>
      </w:pPr>
      <w:bookmarkStart w:id="10" w:name="_Toc35449513"/>
      <w:r w:rsidRPr="0013216A">
        <w:rPr>
          <w:rFonts w:ascii="Times New Roman" w:hAnsi="Times New Roman" w:cs="Times New Roman"/>
          <w:b/>
          <w:color w:val="auto"/>
        </w:rPr>
        <w:lastRenderedPageBreak/>
        <w:t>Список использованных источников</w:t>
      </w:r>
      <w:bookmarkEnd w:id="10"/>
    </w:p>
    <w:p w:rsidR="00025326" w:rsidRDefault="00025326" w:rsidP="00025326">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Базовкина</w:t>
      </w:r>
      <w:proofErr w:type="spellEnd"/>
      <w:r>
        <w:rPr>
          <w:rFonts w:ascii="Times New Roman" w:eastAsia="Times New Roman" w:hAnsi="Times New Roman" w:cs="Times New Roman"/>
          <w:color w:val="000000"/>
          <w:sz w:val="28"/>
          <w:szCs w:val="28"/>
        </w:rPr>
        <w:t xml:space="preserve"> Е.А. Структура денежного обращения в России. URL: http://vectoreconomy.ru/images/publications/2017/10/financeandcredit/Buzovkina.pdf (дата обращения: 07.03.2020).</w:t>
      </w:r>
    </w:p>
    <w:p w:rsidR="00025326" w:rsidRDefault="00025326" w:rsidP="00025326">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Вестник Банка России №6(2058) от 31.01.2019. URL: http://www.cbr.ru/Collection/Collection/File/14251/str_nal_dm_190101.pdf (дата обращения: 07.03.2020).</w:t>
      </w:r>
    </w:p>
    <w:p w:rsidR="00025326" w:rsidRDefault="00025326" w:rsidP="00025326">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highlight w:val="white"/>
        </w:rPr>
        <w:t>Никонец</w:t>
      </w:r>
      <w:proofErr w:type="spellEnd"/>
      <w:r>
        <w:rPr>
          <w:rFonts w:ascii="Times New Roman" w:eastAsia="Times New Roman" w:hAnsi="Times New Roman" w:cs="Times New Roman"/>
          <w:color w:val="000000"/>
          <w:sz w:val="28"/>
          <w:szCs w:val="28"/>
          <w:highlight w:val="white"/>
        </w:rPr>
        <w:t xml:space="preserve"> О.Е., </w:t>
      </w:r>
      <w:proofErr w:type="spellStart"/>
      <w:r>
        <w:rPr>
          <w:rFonts w:ascii="Times New Roman" w:eastAsia="Times New Roman" w:hAnsi="Times New Roman" w:cs="Times New Roman"/>
          <w:color w:val="000000"/>
          <w:sz w:val="28"/>
          <w:szCs w:val="28"/>
          <w:highlight w:val="white"/>
        </w:rPr>
        <w:t>Расулзаде</w:t>
      </w:r>
      <w:proofErr w:type="spellEnd"/>
      <w:r>
        <w:rPr>
          <w:rFonts w:ascii="Times New Roman" w:eastAsia="Times New Roman" w:hAnsi="Times New Roman" w:cs="Times New Roman"/>
          <w:color w:val="000000"/>
          <w:sz w:val="28"/>
          <w:szCs w:val="28"/>
          <w:highlight w:val="white"/>
        </w:rPr>
        <w:t xml:space="preserve"> Г.С. Денежное обращение в Российской Федерации // Научно-методический электронный журнал «Концепт». – 2017. – Т. 39. – С. 76–80.</w:t>
      </w:r>
      <w:bookmarkStart w:id="11" w:name="_gjdgxs" w:colFirst="0" w:colLast="0"/>
      <w:bookmarkEnd w:id="11"/>
    </w:p>
    <w:p w:rsidR="00025326" w:rsidRPr="00C36540" w:rsidRDefault="00025326" w:rsidP="00025326">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8"/>
          <w:szCs w:val="28"/>
        </w:rPr>
      </w:pPr>
      <w:r w:rsidRPr="0029527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16591A">
        <w:rPr>
          <w:rFonts w:ascii="Times New Roman" w:eastAsia="Times New Roman" w:hAnsi="Times New Roman" w:cs="Times New Roman"/>
          <w:color w:val="000000"/>
          <w:sz w:val="28"/>
          <w:szCs w:val="28"/>
        </w:rPr>
        <w:t>Основные направления единой государственной денежно-кредитной политики на 2019 год. URL: https://www.cbr.ru/Content/Document/File/48125/on_2019(2020-2021).pdf (дата обращения</w:t>
      </w:r>
      <w:r>
        <w:rPr>
          <w:rFonts w:ascii="Times New Roman" w:eastAsia="Times New Roman" w:hAnsi="Times New Roman" w:cs="Times New Roman"/>
          <w:color w:val="000000"/>
          <w:sz w:val="28"/>
          <w:szCs w:val="28"/>
        </w:rPr>
        <w:t>: 07.03.2020</w:t>
      </w:r>
      <w:r w:rsidRPr="0016591A">
        <w:rPr>
          <w:rFonts w:ascii="Times New Roman" w:eastAsia="Times New Roman" w:hAnsi="Times New Roman" w:cs="Times New Roman"/>
          <w:color w:val="000000"/>
          <w:sz w:val="28"/>
          <w:szCs w:val="28"/>
        </w:rPr>
        <w:t>).</w:t>
      </w:r>
    </w:p>
    <w:p w:rsidR="0013216A" w:rsidRDefault="0013216A" w:rsidP="0013216A">
      <w:pPr>
        <w:pStyle w:val="a3"/>
      </w:pPr>
    </w:p>
    <w:sectPr w:rsidR="0013216A" w:rsidSect="000B01BF">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29" w:rsidRDefault="002D3C29" w:rsidP="0013216A">
      <w:pPr>
        <w:spacing w:after="0" w:line="240" w:lineRule="auto"/>
      </w:pPr>
      <w:r>
        <w:separator/>
      </w:r>
    </w:p>
  </w:endnote>
  <w:endnote w:type="continuationSeparator" w:id="0">
    <w:p w:rsidR="002D3C29" w:rsidRDefault="002D3C29" w:rsidP="0013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19027"/>
      <w:docPartObj>
        <w:docPartGallery w:val="Page Numbers (Bottom of Page)"/>
        <w:docPartUnique/>
      </w:docPartObj>
    </w:sdtPr>
    <w:sdtEndPr/>
    <w:sdtContent>
      <w:p w:rsidR="000B01BF" w:rsidRDefault="000B01BF">
        <w:pPr>
          <w:pStyle w:val="a8"/>
          <w:jc w:val="center"/>
        </w:pPr>
        <w:r>
          <w:fldChar w:fldCharType="begin"/>
        </w:r>
        <w:r>
          <w:instrText>PAGE   \* MERGEFORMAT</w:instrText>
        </w:r>
        <w:r>
          <w:fldChar w:fldCharType="separate"/>
        </w:r>
        <w:r w:rsidR="00414DC1">
          <w:rPr>
            <w:noProof/>
          </w:rPr>
          <w:t>14</w:t>
        </w:r>
        <w:r>
          <w:fldChar w:fldCharType="end"/>
        </w:r>
      </w:p>
    </w:sdtContent>
  </w:sdt>
  <w:p w:rsidR="000B01BF" w:rsidRDefault="000B01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29" w:rsidRDefault="002D3C29" w:rsidP="0013216A">
      <w:pPr>
        <w:spacing w:after="0" w:line="240" w:lineRule="auto"/>
      </w:pPr>
      <w:r>
        <w:separator/>
      </w:r>
    </w:p>
  </w:footnote>
  <w:footnote w:type="continuationSeparator" w:id="0">
    <w:p w:rsidR="002D3C29" w:rsidRDefault="002D3C29" w:rsidP="00132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E5413"/>
    <w:multiLevelType w:val="multilevel"/>
    <w:tmpl w:val="59BCED6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80"/>
    <w:rsid w:val="00025326"/>
    <w:rsid w:val="000B01BF"/>
    <w:rsid w:val="0013216A"/>
    <w:rsid w:val="002D3C29"/>
    <w:rsid w:val="00386680"/>
    <w:rsid w:val="00414DC1"/>
    <w:rsid w:val="005270F2"/>
    <w:rsid w:val="007F771E"/>
    <w:rsid w:val="008B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7B78"/>
  <w15:chartTrackingRefBased/>
  <w15:docId w15:val="{ABBC2A93-1C7C-462C-A8A2-EE75A64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21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16A"/>
    <w:pPr>
      <w:ind w:left="720"/>
      <w:contextualSpacing/>
    </w:pPr>
  </w:style>
  <w:style w:type="character" w:customStyle="1" w:styleId="10">
    <w:name w:val="Заголовок 1 Знак"/>
    <w:basedOn w:val="a0"/>
    <w:link w:val="1"/>
    <w:uiPriority w:val="9"/>
    <w:rsid w:val="0013216A"/>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3216A"/>
    <w:pPr>
      <w:outlineLvl w:val="9"/>
    </w:pPr>
    <w:rPr>
      <w:lang w:eastAsia="ru-RU"/>
    </w:rPr>
  </w:style>
  <w:style w:type="paragraph" w:styleId="11">
    <w:name w:val="toc 1"/>
    <w:basedOn w:val="a"/>
    <w:next w:val="a"/>
    <w:autoRedefine/>
    <w:uiPriority w:val="39"/>
    <w:unhideWhenUsed/>
    <w:rsid w:val="0013216A"/>
    <w:pPr>
      <w:spacing w:after="100"/>
    </w:pPr>
  </w:style>
  <w:style w:type="paragraph" w:styleId="2">
    <w:name w:val="toc 2"/>
    <w:basedOn w:val="a"/>
    <w:next w:val="a"/>
    <w:autoRedefine/>
    <w:uiPriority w:val="39"/>
    <w:unhideWhenUsed/>
    <w:rsid w:val="0013216A"/>
    <w:pPr>
      <w:spacing w:after="100"/>
      <w:ind w:left="220"/>
    </w:pPr>
  </w:style>
  <w:style w:type="character" w:styleId="a5">
    <w:name w:val="Hyperlink"/>
    <w:basedOn w:val="a0"/>
    <w:uiPriority w:val="99"/>
    <w:unhideWhenUsed/>
    <w:rsid w:val="0013216A"/>
    <w:rPr>
      <w:color w:val="0563C1" w:themeColor="hyperlink"/>
      <w:u w:val="single"/>
    </w:rPr>
  </w:style>
  <w:style w:type="paragraph" w:styleId="a6">
    <w:name w:val="header"/>
    <w:basedOn w:val="a"/>
    <w:link w:val="a7"/>
    <w:uiPriority w:val="99"/>
    <w:unhideWhenUsed/>
    <w:rsid w:val="001321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16A"/>
  </w:style>
  <w:style w:type="paragraph" w:styleId="a8">
    <w:name w:val="footer"/>
    <w:basedOn w:val="a"/>
    <w:link w:val="a9"/>
    <w:uiPriority w:val="99"/>
    <w:unhideWhenUsed/>
    <w:rsid w:val="001321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16A"/>
  </w:style>
  <w:style w:type="paragraph" w:styleId="aa">
    <w:name w:val="Normal (Web)"/>
    <w:basedOn w:val="a"/>
    <w:uiPriority w:val="99"/>
    <w:unhideWhenUsed/>
    <w:rsid w:val="005270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07252">
      <w:bodyDiv w:val="1"/>
      <w:marLeft w:val="0"/>
      <w:marRight w:val="0"/>
      <w:marTop w:val="0"/>
      <w:marBottom w:val="0"/>
      <w:divBdr>
        <w:top w:val="none" w:sz="0" w:space="0" w:color="auto"/>
        <w:left w:val="none" w:sz="0" w:space="0" w:color="auto"/>
        <w:bottom w:val="none" w:sz="0" w:space="0" w:color="auto"/>
        <w:right w:val="none" w:sz="0" w:space="0" w:color="auto"/>
      </w:divBdr>
    </w:div>
    <w:div w:id="1480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EE3C-9640-474F-B066-272D80CE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leksa _</dc:creator>
  <cp:keywords/>
  <dc:description/>
  <cp:lastModifiedBy>leksa _</cp:lastModifiedBy>
  <cp:revision>4</cp:revision>
  <dcterms:created xsi:type="dcterms:W3CDTF">2020-03-18T15:33:00Z</dcterms:created>
  <dcterms:modified xsi:type="dcterms:W3CDTF">2020-03-18T16:48:00Z</dcterms:modified>
</cp:coreProperties>
</file>