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2" w:rsidRDefault="00430AB2" w:rsidP="00430AB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0AB2" w:rsidRPr="00430AB2" w:rsidRDefault="00430AB2" w:rsidP="00430AB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0AB2">
        <w:rPr>
          <w:rFonts w:ascii="Times New Roman" w:hAnsi="Times New Roman" w:cs="Times New Roman"/>
          <w:sz w:val="26"/>
          <w:szCs w:val="26"/>
        </w:rPr>
        <w:t>Теоретические основы управления конкурентоспособностью промышленного предприятия</w:t>
      </w:r>
    </w:p>
    <w:p w:rsidR="00430AB2" w:rsidRDefault="00430AB2" w:rsidP="00430AB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0AB2">
        <w:rPr>
          <w:rFonts w:ascii="Times New Roman" w:hAnsi="Times New Roman" w:cs="Times New Roman"/>
          <w:sz w:val="26"/>
          <w:szCs w:val="26"/>
        </w:rPr>
        <w:t>Понятие и виды конкурентоспособности</w:t>
      </w:r>
    </w:p>
    <w:p w:rsidR="00430AB2" w:rsidRPr="00430AB2" w:rsidRDefault="00430AB2" w:rsidP="00430AB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Стратегии конкурентной борьбы на рынке судостроения</w:t>
      </w:r>
    </w:p>
    <w:p w:rsidR="00430AB2" w:rsidRDefault="00430AB2" w:rsidP="00430AB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и инструменты формирования конкурентоспособности судостроительного  предприятия</w:t>
      </w:r>
    </w:p>
    <w:p w:rsidR="00430AB2" w:rsidRPr="00430AB2" w:rsidRDefault="00430AB2" w:rsidP="00430AB2">
      <w:pPr>
        <w:pStyle w:val="a3"/>
        <w:spacing w:after="0" w:line="36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430AB2" w:rsidRPr="00430AB2" w:rsidRDefault="00430AB2" w:rsidP="00430AB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30AB2" w:rsidRPr="00430AB2" w:rsidSect="00EA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D58"/>
    <w:multiLevelType w:val="multilevel"/>
    <w:tmpl w:val="E5A699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9BD2C4F"/>
    <w:multiLevelType w:val="hybridMultilevel"/>
    <w:tmpl w:val="A76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6513"/>
    <w:rsid w:val="002D6489"/>
    <w:rsid w:val="002E6513"/>
    <w:rsid w:val="00430AB2"/>
    <w:rsid w:val="00544C56"/>
    <w:rsid w:val="00E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Марина</cp:lastModifiedBy>
  <cp:revision>4</cp:revision>
  <dcterms:created xsi:type="dcterms:W3CDTF">2020-01-27T14:19:00Z</dcterms:created>
  <dcterms:modified xsi:type="dcterms:W3CDTF">2020-04-01T13:47:00Z</dcterms:modified>
</cp:coreProperties>
</file>