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DF" w:rsidRPr="00AB31DF" w:rsidRDefault="00AB31DF" w:rsidP="00AB31DF">
      <w:pPr>
        <w:keepNext/>
        <w:spacing w:before="120"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ЛАБОРАТОРНАЯ РАБОТА №2</w:t>
      </w:r>
    </w:p>
    <w:p w:rsidR="00AB31DF" w:rsidRPr="00AB31DF" w:rsidRDefault="00AB31DF" w:rsidP="00AB31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ЭЛЕКТРИЧЕСКИЙ РАСЧЕТ ПРОСТОЙ ЗАМКНУТОЙ СЕТИ</w:t>
      </w:r>
    </w:p>
    <w:p w:rsidR="00AB31DF" w:rsidRPr="00AB31DF" w:rsidRDefault="00AB31DF" w:rsidP="005357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Задание: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выполнить электрический расчет радиальной электрической сети, схема которой приведена на рис. 1.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4721860" cy="2552065"/>
            <wp:effectExtent l="0" t="0" r="254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860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Рис. 1</w:t>
      </w: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Исходные данные: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Коэффициент мощности источника питания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cos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φ</w:t>
      </w:r>
      <w:r w:rsidRPr="00AB31DF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0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=0,96.</w:t>
      </w:r>
    </w:p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Напряжение источника питания </w:t>
      </w:r>
      <w:r w:rsidRPr="00AB31DF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U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B31DF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0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121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кВ.</w:t>
      </w:r>
      <w:proofErr w:type="spellEnd"/>
    </w:p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Номинальное напряжение на шинах всех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электроприёмников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U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AB31DF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 xml:space="preserve">ном 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</w:t>
      </w:r>
      <w:proofErr w:type="gram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10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кВ.</w:t>
      </w:r>
      <w:proofErr w:type="spellEnd"/>
    </w:p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4. По надежности электроснабжения потребители отнесены к 1-ой и 2-ой категориям.</w:t>
      </w:r>
    </w:p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3. Параметры нагрузки и линии электрической сети заданы в табл. 1.</w:t>
      </w:r>
    </w:p>
    <w:p w:rsidR="00AB31DF" w:rsidRPr="00AB31DF" w:rsidRDefault="00AB31DF" w:rsidP="00AB31DF">
      <w:pPr>
        <w:tabs>
          <w:tab w:val="left" w:pos="7900"/>
        </w:tabs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1</w:t>
      </w: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851"/>
        <w:gridCol w:w="850"/>
      </w:tblGrid>
      <w:tr w:rsidR="00AB31DF" w:rsidRPr="00AB31DF" w:rsidTr="00894529">
        <w:tc>
          <w:tcPr>
            <w:tcW w:w="694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Параметры нагрузок подстанции 1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Р</w:t>
            </w:r>
            <w:proofErr w:type="gram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max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МВт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</w:pPr>
            <w:proofErr w:type="spell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cos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φ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Т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max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час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0,81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3400</w:t>
            </w:r>
          </w:p>
        </w:tc>
      </w:tr>
      <w:tr w:rsidR="00AB31DF" w:rsidRPr="00AB31DF" w:rsidTr="00894529">
        <w:tc>
          <w:tcPr>
            <w:tcW w:w="694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Параметры нагрузок подстанции 2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Р</w:t>
            </w:r>
            <w:proofErr w:type="gram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max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МВт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</w:pPr>
            <w:proofErr w:type="spell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cos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φ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lastRenderedPageBreak/>
              <w:t>Т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max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час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А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0,81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4200</w:t>
            </w:r>
          </w:p>
        </w:tc>
      </w:tr>
      <w:tr w:rsidR="00AB31DF" w:rsidRPr="00AB31DF" w:rsidTr="00894529">
        <w:tc>
          <w:tcPr>
            <w:tcW w:w="694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Параметры нагрузок подстанции 3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Р</w:t>
            </w:r>
            <w:proofErr w:type="gram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max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3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МВт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</w:pPr>
            <w:proofErr w:type="spell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cos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φ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3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Т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max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3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час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proofErr w:type="gramEnd"/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0,84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3900</w:t>
            </w:r>
          </w:p>
        </w:tc>
      </w:tr>
      <w:tr w:rsidR="00AB31DF" w:rsidRPr="00AB31DF" w:rsidTr="00894529">
        <w:tc>
          <w:tcPr>
            <w:tcW w:w="694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Длины линий электропередач 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L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км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ЛЭП-01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ЛЭП-02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ЛЭП-13</w:t>
            </w:r>
          </w:p>
          <w:p w:rsidR="00AB31DF" w:rsidRPr="00AB31DF" w:rsidRDefault="00AB31DF" w:rsidP="00AB3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ЛЭП-23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47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35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</w:t>
            </w:r>
          </w:p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</w:t>
            </w:r>
          </w:p>
        </w:tc>
      </w:tr>
    </w:tbl>
    <w:p w:rsidR="00AB31DF" w:rsidRPr="00AB31DF" w:rsidRDefault="00AB31DF" w:rsidP="00AB31D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Решение:</w:t>
      </w: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keepNext/>
        <w:spacing w:before="20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  <w:t>1. Выбор числа цепей и сечений проводов ЛЭП</w:t>
      </w:r>
      <w:r w:rsidRPr="00AB31DF"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  <w:br/>
      </w:r>
    </w:p>
    <w:p w:rsidR="00AB31DF" w:rsidRPr="00AB31DF" w:rsidRDefault="00AB31DF" w:rsidP="00AB3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Потребители первой и второй категорий по условию надежности должны получать электроэнергию не менее</w:t>
      </w:r>
      <w:proofErr w:type="gram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proofErr w:type="gram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чем с двух сторон. В кольцевой электрической сети этому условию удовлетворяют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одноцепные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ЛЭП.</w:t>
      </w: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данном этапе расчета потоки мощности в линиях замкнутой электрической сети можно определить приближенно. Расчет следует проводить в режиме максимальных нагрузок.</w:t>
      </w:r>
    </w:p>
    <w:p w:rsidR="00AB31DF" w:rsidRPr="00AB31DF" w:rsidRDefault="00AB31DF" w:rsidP="00AB31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По известным значениям </w:t>
      </w: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12"/>
          <w:sz w:val="28"/>
          <w:szCs w:val="28"/>
          <w:lang w:eastAsia="ru-RU"/>
        </w:rPr>
        <w:object w:dxaOrig="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9.5pt" o:ole="">
            <v:imagedata r:id="rId7" o:title=""/>
          </v:shape>
          <o:OLEObject Type="Embed" ProgID="Equation.DSMT4" ShapeID="_x0000_i1025" DrawAspect="Content" ObjectID="_1649494463" r:id="rId8"/>
        </w:object>
      </w: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и </w:t>
      </w: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10"/>
          <w:sz w:val="28"/>
          <w:szCs w:val="28"/>
          <w:lang w:eastAsia="ru-RU"/>
        </w:rPr>
        <w:object w:dxaOrig="639" w:dyaOrig="279">
          <v:shape id="_x0000_i1026" type="#_x0000_t75" style="width:32.25pt;height:14.25pt" o:ole="">
            <v:imagedata r:id="rId9" o:title=""/>
          </v:shape>
          <o:OLEObject Type="Embed" ProgID="Equation.DSMT4" ShapeID="_x0000_i1026" DrawAspect="Content" ObjectID="_1649494464" r:id="rId10"/>
        </w:object>
      </w: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 определяем:</w:t>
      </w:r>
    </w:p>
    <w:p w:rsidR="00AB31DF" w:rsidRPr="00AB31DF" w:rsidRDefault="00AB31DF" w:rsidP="00AB31D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значение реактивной мощности </w:t>
      </w: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14"/>
          <w:sz w:val="28"/>
          <w:szCs w:val="28"/>
          <w:lang w:eastAsia="ru-RU"/>
        </w:rPr>
        <w:object w:dxaOrig="6060" w:dyaOrig="420">
          <v:shape id="_x0000_i1027" type="#_x0000_t75" style="width:304.5pt;height:20.25pt" o:ole="">
            <v:imagedata r:id="rId11" o:title=""/>
          </v:shape>
          <o:OLEObject Type="Embed" ProgID="Equation.DSMT4" ShapeID="_x0000_i1027" DrawAspect="Content" ObjectID="_1649494465" r:id="rId12"/>
        </w:object>
      </w:r>
    </w:p>
    <w:p w:rsidR="00AB31DF" w:rsidRPr="00AB31DF" w:rsidRDefault="00AB31DF" w:rsidP="00AB31DF">
      <w:pPr>
        <w:spacing w:after="0" w:line="240" w:lineRule="auto"/>
        <w:ind w:left="128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14"/>
          <w:sz w:val="28"/>
          <w:szCs w:val="28"/>
          <w:lang w:eastAsia="ru-RU"/>
        </w:rPr>
        <w:object w:dxaOrig="6320" w:dyaOrig="420">
          <v:shape id="_x0000_i1028" type="#_x0000_t75" style="width:317.25pt;height:20.25pt" o:ole="">
            <v:imagedata r:id="rId13" o:title=""/>
          </v:shape>
          <o:OLEObject Type="Embed" ProgID="Equation.DSMT4" ShapeID="_x0000_i1028" DrawAspect="Content" ObjectID="_1649494466" r:id="rId14"/>
        </w:object>
      </w:r>
    </w:p>
    <w:p w:rsidR="00AB31DF" w:rsidRPr="00AB31DF" w:rsidRDefault="00AB31DF" w:rsidP="00AB31DF">
      <w:pPr>
        <w:spacing w:after="0" w:line="240" w:lineRule="auto"/>
        <w:ind w:left="128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14"/>
          <w:sz w:val="28"/>
          <w:szCs w:val="28"/>
          <w:lang w:eastAsia="ru-RU"/>
        </w:rPr>
        <w:object w:dxaOrig="6320" w:dyaOrig="420">
          <v:shape id="_x0000_i1029" type="#_x0000_t75" style="width:317.25pt;height:20.25pt" o:ole="">
            <v:imagedata r:id="rId15" o:title=""/>
          </v:shape>
          <o:OLEObject Type="Embed" ProgID="Equation.DSMT4" ShapeID="_x0000_i1029" DrawAspect="Content" ObjectID="_1649494467" r:id="rId16"/>
        </w:object>
      </w:r>
    </w:p>
    <w:p w:rsidR="00AB31DF" w:rsidRPr="00AB31DF" w:rsidRDefault="00AB31DF" w:rsidP="00AB31D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  <w:t xml:space="preserve">модуль значения полной мощности </w:t>
      </w: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34"/>
          <w:sz w:val="28"/>
          <w:szCs w:val="28"/>
          <w:lang w:eastAsia="ru-RU"/>
        </w:rPr>
        <w:object w:dxaOrig="4160" w:dyaOrig="780">
          <v:shape id="_x0000_i1030" type="#_x0000_t75" style="width:208.5pt;height:39pt" o:ole="">
            <v:imagedata r:id="rId17" o:title=""/>
          </v:shape>
          <o:OLEObject Type="Embed" ProgID="Equation.DSMT4" ShapeID="_x0000_i1030" DrawAspect="Content" ObjectID="_1649494468" r:id="rId18"/>
        </w:object>
      </w:r>
    </w:p>
    <w:p w:rsidR="00AB31DF" w:rsidRPr="00AB31DF" w:rsidRDefault="00AB31DF" w:rsidP="00AB31DF">
      <w:pPr>
        <w:spacing w:after="0" w:line="240" w:lineRule="auto"/>
        <w:ind w:left="1287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34"/>
          <w:sz w:val="28"/>
          <w:szCs w:val="28"/>
          <w:lang w:eastAsia="ru-RU"/>
        </w:rPr>
        <w:object w:dxaOrig="4220" w:dyaOrig="780">
          <v:shape id="_x0000_i1031" type="#_x0000_t75" style="width:211.5pt;height:39pt" o:ole="">
            <v:imagedata r:id="rId19" o:title=""/>
          </v:shape>
          <o:OLEObject Type="Embed" ProgID="Equation.DSMT4" ShapeID="_x0000_i1031" DrawAspect="Content" ObjectID="_1649494469" r:id="rId20"/>
        </w:object>
      </w:r>
    </w:p>
    <w:p w:rsidR="00AB31DF" w:rsidRPr="00AB31DF" w:rsidRDefault="00AB31DF" w:rsidP="00AB31DF">
      <w:pPr>
        <w:spacing w:after="0" w:line="240" w:lineRule="auto"/>
        <w:ind w:left="1287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 w:rsidRPr="00AB31DF">
        <w:rPr>
          <w:rFonts w:ascii="Times New Roman" w:eastAsia="Times New Roman" w:hAnsi="Times New Roman" w:cs="Times New Roman"/>
          <w:bCs/>
          <w:color w:val="000000"/>
          <w:spacing w:val="-10"/>
          <w:position w:val="-34"/>
          <w:sz w:val="28"/>
          <w:szCs w:val="28"/>
          <w:lang w:eastAsia="ru-RU"/>
        </w:rPr>
        <w:object w:dxaOrig="4200" w:dyaOrig="780">
          <v:shape id="_x0000_i1032" type="#_x0000_t75" style="width:210.75pt;height:39pt" o:ole="">
            <v:imagedata r:id="rId21" o:title=""/>
          </v:shape>
          <o:OLEObject Type="Embed" ProgID="Equation.DSMT4" ShapeID="_x0000_i1032" DrawAspect="Content" ObjectID="_1649494470" r:id="rId22"/>
        </w:objec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Уравнения для расчета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перетоков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мощности на “головных” участках сети составляются с использованием второго закона Кирхгофа. Однако</w:t>
      </w:r>
      <w:proofErr w:type="gram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proofErr w:type="gram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уравнения включают в себя сопротивления линий сети, значения которых пока неизвестны. Чтобы решить поставленную задачу, на данном этапе расчета принимается условие, что сеть однородна, т.е. для всех линий соблюдается соотношение R</w:t>
      </w:r>
      <w:r w:rsidRPr="00AB31DF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0</w:t>
      </w: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/X</w:t>
      </w:r>
      <w:r w:rsidRPr="00AB31DF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0</w:t>
      </w: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=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const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Тогда уравнение для расчета </w:t>
      </w: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комплексных значений потоков мощности на головном участке, например, ЛЭП-01 примет вид: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296"/>
        <w:gridCol w:w="1167"/>
      </w:tblGrid>
      <w:tr w:rsidR="00AB31DF" w:rsidRPr="00AB31DF" w:rsidTr="00894529">
        <w:tc>
          <w:tcPr>
            <w:tcW w:w="8177" w:type="dxa"/>
          </w:tcPr>
          <w:commentRangeStart w:id="0"/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70"/>
                <w:sz w:val="28"/>
                <w:szCs w:val="24"/>
                <w:lang w:eastAsia="ru-RU"/>
              </w:rPr>
              <w:object w:dxaOrig="8080" w:dyaOrig="1520">
                <v:shape id="_x0000_i1033" type="#_x0000_t75" style="width:404.25pt;height:76.5pt" o:ole="">
                  <v:imagedata r:id="rId23" o:title=""/>
                </v:shape>
                <o:OLEObject Type="Embed" ProgID="Equation.DSMT4" ShapeID="_x0000_i1033" DrawAspect="Content" ObjectID="_1649494471" r:id="rId24"/>
              </w:object>
            </w:r>
            <w:commentRangeEnd w:id="0"/>
            <w:r w:rsidR="006B68DA">
              <w:rPr>
                <w:rStyle w:val="a5"/>
              </w:rPr>
              <w:commentReference w:id="0"/>
            </w: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73" w:type="dxa"/>
          </w:tcPr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AB31DF" w:rsidRPr="00AB31DF" w:rsidRDefault="00AB31DF" w:rsidP="00AB31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Аналогично составляется уравнение для расчета мощности в ЛЭП-02.</w:t>
      </w:r>
    </w:p>
    <w:commentRangeStart w:id="1"/>
    <w:p w:rsidR="00AB31DF" w:rsidRPr="00AB31DF" w:rsidRDefault="00AB31DF" w:rsidP="00AB31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position w:val="-70"/>
          <w:sz w:val="28"/>
          <w:szCs w:val="20"/>
          <w:lang w:eastAsia="ru-RU"/>
        </w:rPr>
        <w:object w:dxaOrig="8100" w:dyaOrig="1520">
          <v:shape id="_x0000_i1034" type="#_x0000_t75" style="width:405pt;height:76.5pt" o:ole="">
            <v:imagedata r:id="rId26" o:title=""/>
          </v:shape>
          <o:OLEObject Type="Embed" ProgID="Equation.DSMT4" ShapeID="_x0000_i1034" DrawAspect="Content" ObjectID="_1649494472" r:id="rId27"/>
        </w:object>
      </w:r>
      <w:commentRangeEnd w:id="1"/>
      <w:r w:rsidR="006B68DA">
        <w:rPr>
          <w:rStyle w:val="a5"/>
        </w:rPr>
        <w:commentReference w:id="1"/>
      </w:r>
    </w:p>
    <w:p w:rsidR="00AB31DF" w:rsidRPr="00AB31DF" w:rsidRDefault="00AB31DF" w:rsidP="00AB31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Правильность расчета мощности на головных участках следует проверить по балансу, когда в каждый момент времени количество мощности, поступающей в сеть, должна быть равна суммарной мощности, получаемой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электроприемниками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Здесь баланс мощности представляется уравнением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113"/>
        <w:gridCol w:w="1237"/>
      </w:tblGrid>
      <w:tr w:rsidR="00AB31DF" w:rsidRPr="00AB31DF" w:rsidTr="00894529">
        <w:tc>
          <w:tcPr>
            <w:tcW w:w="8113" w:type="dxa"/>
          </w:tcPr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8"/>
                <w:sz w:val="28"/>
                <w:szCs w:val="24"/>
                <w:lang w:eastAsia="ru-RU"/>
              </w:rPr>
              <w:object w:dxaOrig="2920" w:dyaOrig="460">
                <v:shape id="_x0000_i1035" type="#_x0000_t75" style="width:146.25pt;height:22.5pt" o:ole="">
                  <v:imagedata r:id="rId28" o:title=""/>
                </v:shape>
                <o:OLEObject Type="Embed" ProgID="Equation.DSMT4" ShapeID="_x0000_i1035" DrawAspect="Content" ObjectID="_1649494473" r:id="rId29"/>
              </w:object>
            </w: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8"/>
                <w:sz w:val="28"/>
                <w:szCs w:val="24"/>
                <w:lang w:eastAsia="ru-RU"/>
              </w:rPr>
              <w:object w:dxaOrig="4000" w:dyaOrig="300">
                <v:shape id="_x0000_i1036" type="#_x0000_t75" style="width:200.25pt;height:15pt" o:ole="">
                  <v:imagedata r:id="rId30" o:title=""/>
                </v:shape>
                <o:OLEObject Type="Embed" ProgID="Equation.DSMT4" ShapeID="_x0000_i1036" DrawAspect="Content" ObjectID="_1649494474" r:id="rId31"/>
              </w:object>
            </w: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540" w:dyaOrig="360">
                <v:shape id="_x0000_i1037" type="#_x0000_t75" style="width:126.75pt;height:18pt" o:ole="">
                  <v:imagedata r:id="rId32" o:title=""/>
                </v:shape>
                <o:OLEObject Type="Embed" ProgID="Equation.DSMT4" ShapeID="_x0000_i1037" DrawAspect="Content" ObjectID="_1649494475" r:id="rId33"/>
              </w:object>
            </w:r>
          </w:p>
        </w:tc>
        <w:tc>
          <w:tcPr>
            <w:tcW w:w="1237" w:type="dxa"/>
          </w:tcPr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AB31DF" w:rsidRPr="00AB31DF" w:rsidRDefault="00AB31DF" w:rsidP="00AB31D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Комплексные значения потоков мощности в распределительных линиях ЛЭП-12 и ЛЭП-23 находятся из уравнений, составленных по 1-ому закону Кирхгофа: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118"/>
        <w:gridCol w:w="1232"/>
      </w:tblGrid>
      <w:tr w:rsidR="00AB31DF" w:rsidRPr="00AB31DF" w:rsidTr="00894529">
        <w:tc>
          <w:tcPr>
            <w:tcW w:w="8118" w:type="dxa"/>
          </w:tcPr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40"/>
                <w:sz w:val="28"/>
                <w:szCs w:val="24"/>
                <w:lang w:eastAsia="ru-RU"/>
              </w:rPr>
              <w:object w:dxaOrig="4860" w:dyaOrig="920">
                <v:shape id="_x0000_i1038" type="#_x0000_t75" style="width:243pt;height:46.5pt" o:ole="">
                  <v:imagedata r:id="rId34" o:title=""/>
                </v:shape>
                <o:OLEObject Type="Embed" ProgID="Equation.DSMT4" ShapeID="_x0000_i1038" DrawAspect="Content" ObjectID="_1649494476" r:id="rId35"/>
              </w:object>
            </w:r>
          </w:p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Проверка:</w:t>
            </w:r>
          </w:p>
        </w:tc>
        <w:tc>
          <w:tcPr>
            <w:tcW w:w="1232" w:type="dxa"/>
          </w:tcPr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AB31DF" w:rsidRPr="00AB31DF" w:rsidTr="00894529">
        <w:tc>
          <w:tcPr>
            <w:tcW w:w="8118" w:type="dxa"/>
          </w:tcPr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48"/>
                <w:sz w:val="28"/>
                <w:szCs w:val="24"/>
                <w:lang w:eastAsia="ru-RU"/>
              </w:rPr>
              <w:object w:dxaOrig="2720" w:dyaOrig="1200">
                <v:shape id="_x0000_i1039" type="#_x0000_t75" style="width:136.5pt;height:60pt" o:ole="">
                  <v:imagedata r:id="rId36" o:title=""/>
                </v:shape>
                <o:OLEObject Type="Embed" ProgID="Equation.DSMT4" ShapeID="_x0000_i1039" DrawAspect="Content" ObjectID="_1649494477" r:id="rId37"/>
              </w:object>
            </w:r>
          </w:p>
        </w:tc>
        <w:tc>
          <w:tcPr>
            <w:tcW w:w="1232" w:type="dxa"/>
          </w:tcPr>
          <w:p w:rsidR="00AB31DF" w:rsidRPr="00AB31DF" w:rsidRDefault="00AB31DF" w:rsidP="00AB31DF">
            <w:pPr>
              <w:numPr>
                <w:ilvl w:val="12"/>
                <w:numId w:val="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полученным для каждой ЛЭП потокам мощности рассчитываются зн</w:t>
      </w:r>
      <w:r w:rsidRPr="00AB31DF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ачения полного тока и по экономической плотности тока выбираются сечения проводов.</w:t>
      </w:r>
    </w:p>
    <w:p w:rsidR="00AB31DF" w:rsidRPr="00AB31DF" w:rsidRDefault="00AB31DF" w:rsidP="00AB3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Результаты выбора сечений воздушных ЛЭП сведем в таблицу 2.</w:t>
      </w:r>
    </w:p>
    <w:p w:rsidR="00AB31DF" w:rsidRPr="00AB31DF" w:rsidRDefault="00AB31DF" w:rsidP="00AB3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spacing w:after="0" w:line="240" w:lineRule="auto"/>
        <w:ind w:left="284" w:firstLine="85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2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1216"/>
        <w:gridCol w:w="1039"/>
        <w:gridCol w:w="1028"/>
        <w:gridCol w:w="1338"/>
        <w:gridCol w:w="2089"/>
        <w:gridCol w:w="1134"/>
      </w:tblGrid>
      <w:tr w:rsidR="00AB31DF" w:rsidRPr="00AB31DF" w:rsidTr="00894529">
        <w:trPr>
          <w:trHeight w:val="550"/>
        </w:trPr>
        <w:tc>
          <w:tcPr>
            <w:tcW w:w="12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Участок</w:t>
            </w:r>
          </w:p>
        </w:tc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0"/>
                <w:sz w:val="28"/>
                <w:szCs w:val="24"/>
                <w:lang w:eastAsia="ru-RU"/>
              </w:rPr>
              <w:object w:dxaOrig="840" w:dyaOrig="320">
                <v:shape id="_x0000_i1040" type="#_x0000_t75" style="width:42pt;height:15.75pt" o:ole="">
                  <v:imagedata r:id="rId38" o:title=""/>
                </v:shape>
                <o:OLEObject Type="Embed" ProgID="Equation.DSMT4" ShapeID="_x0000_i1040" DrawAspect="Content" ObjectID="_1649494478" r:id="rId39"/>
              </w:object>
            </w:r>
          </w:p>
        </w:tc>
        <w:tc>
          <w:tcPr>
            <w:tcW w:w="103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6"/>
                <w:sz w:val="28"/>
                <w:szCs w:val="24"/>
                <w:lang w:eastAsia="ru-RU"/>
              </w:rPr>
              <w:object w:dxaOrig="660" w:dyaOrig="400">
                <v:shape id="_x0000_i1041" type="#_x0000_t75" style="width:33pt;height:20.25pt" o:ole="">
                  <v:imagedata r:id="rId40" o:title=""/>
                </v:shape>
                <o:OLEObject Type="Embed" ProgID="Equation.DSMT4" ShapeID="_x0000_i1041" DrawAspect="Content" ObjectID="_1649494479" r:id="rId41"/>
              </w:object>
            </w:r>
          </w:p>
        </w:tc>
        <w:commentRangeStart w:id="2"/>
        <w:tc>
          <w:tcPr>
            <w:tcW w:w="10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4"/>
                <w:sz w:val="28"/>
                <w:szCs w:val="24"/>
                <w:lang w:eastAsia="ru-RU"/>
              </w:rPr>
              <w:object w:dxaOrig="580" w:dyaOrig="380">
                <v:shape id="_x0000_i1042" type="#_x0000_t75" style="width:29.25pt;height:19.5pt" o:ole="">
                  <v:imagedata r:id="rId42" o:title=""/>
                </v:shape>
                <o:OLEObject Type="Embed" ProgID="Equation.DSMT4" ShapeID="_x0000_i1042" DrawAspect="Content" ObjectID="_1649494480" r:id="rId43"/>
              </w:object>
            </w:r>
            <w:commentRangeEnd w:id="2"/>
            <w:r w:rsidR="006B68DA">
              <w:rPr>
                <w:rStyle w:val="a5"/>
              </w:rPr>
              <w:commentReference w:id="2"/>
            </w:r>
          </w:p>
        </w:tc>
        <w:tc>
          <w:tcPr>
            <w:tcW w:w="133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960" w:dyaOrig="380">
                <v:shape id="_x0000_i1043" type="#_x0000_t75" style="width:48pt;height:19.5pt" o:ole="">
                  <v:imagedata r:id="rId44" o:title=""/>
                </v:shape>
                <o:OLEObject Type="Embed" ProgID="Equation.DSMT4" ShapeID="_x0000_i1043" DrawAspect="Content" ObjectID="_1649494481" r:id="rId45"/>
              </w:object>
            </w:r>
          </w:p>
        </w:tc>
        <w:tc>
          <w:tcPr>
            <w:tcW w:w="208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commentRangeStart w:id="3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марка – 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мм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commentRangeEnd w:id="3"/>
            <w:proofErr w:type="gramEnd"/>
            <w:r w:rsidR="006B68DA">
              <w:rPr>
                <w:rStyle w:val="a5"/>
              </w:rPr>
              <w:commentReference w:id="3"/>
            </w:r>
          </w:p>
        </w:tc>
        <w:tc>
          <w:tcPr>
            <w:tcW w:w="113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700" w:dyaOrig="360">
                <v:shape id="_x0000_i1044" type="#_x0000_t75" style="width:35.25pt;height:18pt" o:ole="">
                  <v:imagedata r:id="rId46" o:title=""/>
                </v:shape>
                <o:OLEObject Type="Embed" ProgID="Equation.DSMT4" ShapeID="_x0000_i1044" DrawAspect="Content" ObjectID="_1649494482" r:id="rId47"/>
              </w:object>
            </w:r>
          </w:p>
        </w:tc>
      </w:tr>
      <w:tr w:rsidR="00AB31DF" w:rsidRPr="00AB31DF" w:rsidTr="00894529">
        <w:tc>
          <w:tcPr>
            <w:tcW w:w="12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39,77</w:t>
            </w:r>
          </w:p>
        </w:tc>
        <w:tc>
          <w:tcPr>
            <w:tcW w:w="103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209</w:t>
            </w:r>
          </w:p>
        </w:tc>
        <w:tc>
          <w:tcPr>
            <w:tcW w:w="10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209</w:t>
            </w:r>
          </w:p>
        </w:tc>
        <w:tc>
          <w:tcPr>
            <w:tcW w:w="1338" w:type="dxa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190</w:t>
            </w:r>
          </w:p>
        </w:tc>
        <w:tc>
          <w:tcPr>
            <w:tcW w:w="208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АС-185/29</w:t>
            </w:r>
          </w:p>
        </w:tc>
        <w:tc>
          <w:tcPr>
            <w:tcW w:w="113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510</w:t>
            </w:r>
          </w:p>
        </w:tc>
      </w:tr>
      <w:tr w:rsidR="00AB31DF" w:rsidRPr="00AB31DF" w:rsidTr="00894529">
        <w:tc>
          <w:tcPr>
            <w:tcW w:w="12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8,91</w:t>
            </w:r>
          </w:p>
        </w:tc>
        <w:tc>
          <w:tcPr>
            <w:tcW w:w="103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47</w:t>
            </w:r>
          </w:p>
        </w:tc>
        <w:tc>
          <w:tcPr>
            <w:tcW w:w="10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47</w:t>
            </w:r>
          </w:p>
        </w:tc>
        <w:tc>
          <w:tcPr>
            <w:tcW w:w="1338" w:type="dxa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43</w:t>
            </w:r>
          </w:p>
        </w:tc>
        <w:tc>
          <w:tcPr>
            <w:tcW w:w="208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АС-50/8</w:t>
            </w:r>
          </w:p>
        </w:tc>
        <w:tc>
          <w:tcPr>
            <w:tcW w:w="113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210</w:t>
            </w:r>
          </w:p>
        </w:tc>
      </w:tr>
      <w:tr w:rsidR="00AB31DF" w:rsidRPr="00AB31DF" w:rsidTr="00894529">
        <w:tc>
          <w:tcPr>
            <w:tcW w:w="12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23,23</w:t>
            </w:r>
          </w:p>
        </w:tc>
        <w:tc>
          <w:tcPr>
            <w:tcW w:w="103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122</w:t>
            </w:r>
          </w:p>
        </w:tc>
        <w:tc>
          <w:tcPr>
            <w:tcW w:w="10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122</w:t>
            </w:r>
          </w:p>
        </w:tc>
        <w:tc>
          <w:tcPr>
            <w:tcW w:w="1338" w:type="dxa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111</w:t>
            </w:r>
          </w:p>
        </w:tc>
        <w:tc>
          <w:tcPr>
            <w:tcW w:w="208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  <w:tc>
          <w:tcPr>
            <w:tcW w:w="113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390</w:t>
            </w:r>
          </w:p>
        </w:tc>
      </w:tr>
      <w:tr w:rsidR="00AB31DF" w:rsidRPr="00AB31DF" w:rsidTr="00894529">
        <w:tc>
          <w:tcPr>
            <w:tcW w:w="12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42,98</w:t>
            </w:r>
          </w:p>
        </w:tc>
        <w:tc>
          <w:tcPr>
            <w:tcW w:w="103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226</w:t>
            </w:r>
          </w:p>
        </w:tc>
        <w:tc>
          <w:tcPr>
            <w:tcW w:w="102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226</w:t>
            </w:r>
          </w:p>
        </w:tc>
        <w:tc>
          <w:tcPr>
            <w:tcW w:w="1338" w:type="dxa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206</w:t>
            </w:r>
          </w:p>
        </w:tc>
        <w:tc>
          <w:tcPr>
            <w:tcW w:w="208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АС-240/32</w:t>
            </w:r>
          </w:p>
        </w:tc>
        <w:tc>
          <w:tcPr>
            <w:tcW w:w="113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610</w:t>
            </w:r>
          </w:p>
        </w:tc>
      </w:tr>
    </w:tbl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</w:pPr>
    </w:p>
    <w:p w:rsidR="00AB31DF" w:rsidRPr="00AB31DF" w:rsidRDefault="00AB31DF" w:rsidP="00AB31DF">
      <w:pPr>
        <w:keepNext/>
        <w:spacing w:before="20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  <w:t xml:space="preserve">2. Проведение необходимых проверок </w:t>
      </w:r>
    </w:p>
    <w:p w:rsidR="00AB31DF" w:rsidRPr="00AB31DF" w:rsidRDefault="00AB31DF" w:rsidP="00AB3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Выполняем проверки выбранных сечений проводов по механической прочности, по условию ограничения потерь “на корону” и по допустимым потерям и отклонениям напряжения.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Проверка выбранных сечений “по нагреву” производится током послеаварийного режима, причем из всех возможных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послеварийных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режимов выбирается такой, при котором по проверяемой линии передается наибольшая мощность.</w:t>
      </w:r>
      <w:proofErr w:type="gram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Таким режимом в данной схеме является отключение одного наиболее загруженного головного участка сети, т.е. ЛЭП-01 или ЛЭП-02. В этом случае замкнутая сеть превращается </w:t>
      </w:r>
      <w:proofErr w:type="gram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proofErr w:type="gramEnd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разомкнутую и состоит из трех последовательных участков.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Например, отключаем участок ЛЭП-02.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4462780" cy="26339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780" cy="263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Рис. 2</w:t>
      </w: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Тогда по участку ЛЭП-23 передается мощность 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</w:pP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23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=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2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=19,75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 xml:space="preserve"> 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МВА;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по участку ЛЭП-13 передается мощность 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</w:pP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13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= 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2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+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= 19,75+32,14=51,89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 xml:space="preserve"> 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МВА;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по участку ЛЭП-01 передается мощность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01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=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1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+ 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2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+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= 30,86+51,89=82,75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 xml:space="preserve"> 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МВА. </w:t>
      </w:r>
    </w:p>
    <w:p w:rsidR="00AB31DF" w:rsidRPr="00AB31DF" w:rsidRDefault="00AB31DF" w:rsidP="00AB3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Определив перетоки мщности на участках схемы в после аварийном режиме можем определить послеаварийные токи и сравнить их со значениями допустимых длительных токов для выбранных сечений.</w:t>
      </w:r>
    </w:p>
    <w:p w:rsidR="00AB31DF" w:rsidRPr="00AB31DF" w:rsidRDefault="00AB31DF" w:rsidP="00AB31DF">
      <w:pPr>
        <w:spacing w:after="0" w:line="240" w:lineRule="auto"/>
        <w:ind w:left="284" w:firstLine="85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3</w:t>
      </w:r>
    </w:p>
    <w:tbl>
      <w:tblPr>
        <w:tblW w:w="8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1136"/>
        <w:gridCol w:w="943"/>
        <w:gridCol w:w="2375"/>
        <w:gridCol w:w="1025"/>
        <w:gridCol w:w="2086"/>
      </w:tblGrid>
      <w:tr w:rsidR="00AB31DF" w:rsidRPr="00AB31DF" w:rsidTr="00894529">
        <w:trPr>
          <w:trHeight w:val="550"/>
        </w:trPr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Участок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0"/>
                <w:sz w:val="28"/>
                <w:szCs w:val="24"/>
                <w:lang w:eastAsia="ru-RU"/>
              </w:rPr>
              <w:object w:dxaOrig="840" w:dyaOrig="320">
                <v:shape id="_x0000_i1045" type="#_x0000_t75" style="width:42pt;height:15.75pt" o:ole="">
                  <v:imagedata r:id="rId38" o:title=""/>
                </v:shape>
                <o:OLEObject Type="Embed" ProgID="Equation.DSMT4" ShapeID="_x0000_i1045" DrawAspect="Content" ObjectID="_1649494483" r:id="rId49"/>
              </w:objec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620" w:dyaOrig="360">
                <v:shape id="_x0000_i1046" type="#_x0000_t75" style="width:31.5pt;height:18pt" o:ole="">
                  <v:imagedata r:id="rId50" o:title=""/>
                </v:shape>
                <o:OLEObject Type="Embed" ProgID="Equation.DSMT4" ShapeID="_x0000_i1046" DrawAspect="Content" ObjectID="_1649494484" r:id="rId51"/>
              </w:objec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марка – 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мм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700" w:dyaOrig="360">
                <v:shape id="_x0000_i1047" type="#_x0000_t75" style="width:35.25pt;height:18pt" o:ole="">
                  <v:imagedata r:id="rId46" o:title=""/>
                </v:shape>
                <o:OLEObject Type="Embed" ProgID="Equation.DSMT4" ShapeID="_x0000_i1047" DrawAspect="Content" ObjectID="_1649494485" r:id="rId52"/>
              </w:object>
            </w:r>
          </w:p>
        </w:tc>
        <w:tc>
          <w:tcPr>
            <w:tcW w:w="2086" w:type="dxa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Окончательная марка – 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мм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82,75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434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АС-185/29</w:t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510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АС-185/29</w:t>
            </w:r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51,89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272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commentRangeStart w:id="4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  <w:commentRangeEnd w:id="4"/>
            <w:r w:rsidR="006B68DA">
              <w:rPr>
                <w:rStyle w:val="a5"/>
              </w:rPr>
              <w:commentReference w:id="4"/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19,75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104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АС-240/32</w:t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610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АС-240/32</w:t>
            </w:r>
          </w:p>
        </w:tc>
      </w:tr>
    </w:tbl>
    <w:p w:rsidR="00AB31DF" w:rsidRPr="00AB31DF" w:rsidRDefault="00AB31DF" w:rsidP="00AB3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Далее производим проверку отключив участок ЛЭП-01.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Тогда по участку ЛЭП-23 передается мощность 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</w:pP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13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=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1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=30,86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 xml:space="preserve"> 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МВА;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по участку ЛЭП-13 передается мощность 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</w:pP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23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= 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1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+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>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= 30,86+32,14=63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eastAsia="ru-RU"/>
        </w:rPr>
        <w:t xml:space="preserve"> 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МВА;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по участку ЛЭП-01 передается мощность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</w:pP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val="en-US" w:eastAsia="ru-RU"/>
        </w:rPr>
        <w:t>02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t xml:space="preserve"> =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val="en-US" w:eastAsia="ru-RU"/>
        </w:rPr>
        <w:t>2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t xml:space="preserve">+ 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val="en-US" w:eastAsia="ru-RU"/>
        </w:rPr>
        <w:t>1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t>+</w:t>
      </w:r>
      <w:r w:rsidRPr="00AB31DF">
        <w:rPr>
          <w:rFonts w:ascii="Times New Roman" w:eastAsia="Times New Roman" w:hAnsi="Times New Roman" w:cs="Times New Roman"/>
          <w:i/>
          <w:noProof/>
          <w:sz w:val="28"/>
          <w:szCs w:val="20"/>
          <w:u w:val="single"/>
          <w:lang w:val="en-US" w:eastAsia="ru-RU"/>
        </w:rPr>
        <w:t>S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val="en-US" w:eastAsia="ru-RU"/>
        </w:rPr>
        <w:t>3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t>= 19,75+63=82,75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vertAlign w:val="subscript"/>
          <w:lang w:val="en-US" w:eastAsia="ru-RU"/>
        </w:rPr>
        <w:t xml:space="preserve"> 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МВА</w:t>
      </w:r>
      <w:r w:rsidRPr="00AB31DF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t xml:space="preserve">. </w:t>
      </w:r>
    </w:p>
    <w:p w:rsidR="00AB31DF" w:rsidRPr="00AB31DF" w:rsidRDefault="00AB31DF" w:rsidP="00AB31DF">
      <w:pPr>
        <w:spacing w:after="0" w:line="240" w:lineRule="auto"/>
        <w:ind w:left="284" w:firstLine="850"/>
        <w:jc w:val="right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</w:t>
      </w:r>
      <w:r w:rsidRPr="00AB31D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4</w:t>
      </w:r>
    </w:p>
    <w:tbl>
      <w:tblPr>
        <w:tblW w:w="8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1136"/>
        <w:gridCol w:w="943"/>
        <w:gridCol w:w="2375"/>
        <w:gridCol w:w="1025"/>
        <w:gridCol w:w="2086"/>
      </w:tblGrid>
      <w:tr w:rsidR="00AB31DF" w:rsidRPr="00AB31DF" w:rsidTr="00894529">
        <w:trPr>
          <w:trHeight w:val="550"/>
        </w:trPr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Участок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0"/>
                <w:sz w:val="28"/>
                <w:szCs w:val="24"/>
                <w:lang w:eastAsia="ru-RU"/>
              </w:rPr>
              <w:object w:dxaOrig="840" w:dyaOrig="320">
                <v:shape id="_x0000_i1048" type="#_x0000_t75" style="width:42pt;height:15.75pt" o:ole="">
                  <v:imagedata r:id="rId38" o:title=""/>
                </v:shape>
                <o:OLEObject Type="Embed" ProgID="Equation.DSMT4" ShapeID="_x0000_i1048" DrawAspect="Content" ObjectID="_1649494486" r:id="rId53"/>
              </w:objec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620" w:dyaOrig="360">
                <v:shape id="_x0000_i1049" type="#_x0000_t75" style="width:31.5pt;height:18pt" o:ole="">
                  <v:imagedata r:id="rId50" o:title=""/>
                </v:shape>
                <o:OLEObject Type="Embed" ProgID="Equation.DSMT4" ShapeID="_x0000_i1049" DrawAspect="Content" ObjectID="_1649494487" r:id="rId54"/>
              </w:objec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марка – 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мм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700" w:dyaOrig="360">
                <v:shape id="_x0000_i1050" type="#_x0000_t75" style="width:35.25pt;height:18pt" o:ole="">
                  <v:imagedata r:id="rId46" o:title=""/>
                </v:shape>
                <o:OLEObject Type="Embed" ProgID="Equation.DSMT4" ShapeID="_x0000_i1050" DrawAspect="Content" ObjectID="_1649494488" r:id="rId55"/>
              </w:object>
            </w:r>
          </w:p>
        </w:tc>
        <w:tc>
          <w:tcPr>
            <w:tcW w:w="2086" w:type="dxa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Окончательная марка – 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мм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АС-185/29</w:t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510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АС-185/29</w:t>
            </w:r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30,86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162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63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331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</w:tr>
      <w:tr w:rsidR="00AB31DF" w:rsidRPr="00AB31DF" w:rsidTr="00894529">
        <w:tc>
          <w:tcPr>
            <w:tcW w:w="121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02</w:t>
            </w:r>
          </w:p>
        </w:tc>
        <w:tc>
          <w:tcPr>
            <w:tcW w:w="113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82,75</w:t>
            </w:r>
          </w:p>
        </w:tc>
        <w:tc>
          <w:tcPr>
            <w:tcW w:w="943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434</w:t>
            </w:r>
          </w:p>
        </w:tc>
        <w:tc>
          <w:tcPr>
            <w:tcW w:w="23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АС-240/32</w:t>
            </w:r>
          </w:p>
        </w:tc>
        <w:tc>
          <w:tcPr>
            <w:tcW w:w="102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610</w:t>
            </w:r>
          </w:p>
        </w:tc>
        <w:tc>
          <w:tcPr>
            <w:tcW w:w="20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АС-240/32</w:t>
            </w:r>
          </w:p>
        </w:tc>
      </w:tr>
    </w:tbl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Проверке </w:t>
      </w:r>
      <w:r w:rsidRPr="00AB31D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по потерям напряжения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воздушные линии 35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кВ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выше не подлежат, так как повышение уровня напряжения путем увеличения сечения проводов по сравнению с применением на понижающих подстанциях трансформаторов с </w:t>
      </w:r>
      <w:r w:rsidRPr="00AB31DF">
        <w:rPr>
          <w:rFonts w:ascii="Times New Roman" w:eastAsia="Times New Roman" w:hAnsi="Times New Roman" w:cs="Times New Roman"/>
          <w:spacing w:val="-14"/>
          <w:sz w:val="28"/>
          <w:szCs w:val="24"/>
          <w:lang w:eastAsia="ru-RU"/>
        </w:rPr>
        <w:t xml:space="preserve">РПН  </w:t>
      </w: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экономически не оправдано</w:t>
      </w:r>
      <w:r w:rsidRPr="00AB31DF">
        <w:rPr>
          <w:rFonts w:ascii="Times New Roman" w:eastAsia="Times New Roman" w:hAnsi="Times New Roman" w:cs="Times New Roman"/>
          <w:spacing w:val="-20"/>
          <w:sz w:val="28"/>
          <w:szCs w:val="24"/>
          <w:lang w:eastAsia="ru-RU"/>
        </w:rPr>
        <w:t>.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keepNext/>
        <w:spacing w:before="20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  <w:t>3. Выбор трансформаторов на подстанциях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Выбор числа и мощности трансформаторов для подстанции подробно рассмотрен в ЛР 1. При выполнении ЛР 2 предлагается подробно описать процесс выбора трансформаторов только для одной из трех подстанций, а для остальных привести конечные результаты в одной обобщающей таблице. </w:t>
      </w:r>
      <w:proofErr w:type="gramStart"/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Таблица составляется таким образом, чтобы в ней был отражен процесс выбора трансформаторов, т.е. кроме паспортных данных в таблице должны быть приведены значения полной мощности нагрузки каждой подстанции </w:t>
      </w:r>
      <w:r w:rsidRPr="00AB31DF">
        <w:rPr>
          <w:rFonts w:ascii="Times New Roman" w:eastAsia="Times New Roman" w:hAnsi="Times New Roman" w:cs="Times New Roman"/>
          <w:position w:val="-16"/>
          <w:sz w:val="28"/>
          <w:szCs w:val="20"/>
          <w:lang w:eastAsia="ru-RU"/>
        </w:rPr>
        <w:object w:dxaOrig="800" w:dyaOrig="420">
          <v:shape id="_x0000_i1051" type="#_x0000_t75" style="width:39.75pt;height:21.75pt" o:ole="">
            <v:imagedata r:id="rId56" o:title=""/>
          </v:shape>
          <o:OLEObject Type="Embed" ProgID="Equation.3" ShapeID="_x0000_i1051" DrawAspect="Content" ObjectID="_1649494489" r:id="rId57"/>
        </w:object>
      </w: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расчетные мощности трансформаторов</w:t>
      </w:r>
      <w:r w:rsidRPr="00AB31DF">
        <w:rPr>
          <w:rFonts w:ascii="Times New Roman" w:eastAsia="Times New Roman" w:hAnsi="Times New Roman" w:cs="Times New Roman"/>
          <w:position w:val="-20"/>
          <w:sz w:val="28"/>
          <w:szCs w:val="20"/>
          <w:lang w:eastAsia="ru-RU"/>
        </w:rPr>
        <w:object w:dxaOrig="800" w:dyaOrig="460">
          <v:shape id="_x0000_i1052" type="#_x0000_t75" style="width:39.75pt;height:22.5pt" o:ole="">
            <v:imagedata r:id="rId58" o:title=""/>
          </v:shape>
          <o:OLEObject Type="Embed" ProgID="Equation.3" ShapeID="_x0000_i1052" DrawAspect="Content" ObjectID="_1649494490" r:id="rId59"/>
        </w:object>
      </w: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При выборе марки трансформатора обратите внимание на то, что он должен быть понижающим и иметь регулятор напряжения под нагрузкой (РПН). </w:t>
      </w:r>
      <w:proofErr w:type="gramEnd"/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подстанции 1 устанавливаем два трансформатора, необходимая мощность каждого из которых</w:t>
      </w:r>
    </w:p>
    <w:p w:rsidR="00AB31DF" w:rsidRPr="00AB31DF" w:rsidRDefault="00AB31DF" w:rsidP="00AB31D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position w:val="-28"/>
          <w:sz w:val="28"/>
          <w:szCs w:val="24"/>
          <w:lang w:eastAsia="ru-RU"/>
        </w:rPr>
        <w:object w:dxaOrig="3180" w:dyaOrig="760">
          <v:shape id="_x0000_i1053" type="#_x0000_t75" style="width:159pt;height:37.5pt" o:ole="">
            <v:imagedata r:id="rId60" o:title=""/>
          </v:shape>
          <o:OLEObject Type="Embed" ProgID="Equation.DSMT4" ShapeID="_x0000_i1053" DrawAspect="Content" ObjectID="_1649494491" r:id="rId61"/>
        </w:object>
      </w:r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Выбираем на подстанции 1 два трехфазных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двухобмоточных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трансформатора типа ТДН-25000/110.</w:t>
      </w:r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подстанции 2 устанавливаем два трансформатора, необходимая мощность каждого из которых</w:t>
      </w:r>
    </w:p>
    <w:p w:rsidR="00AB31DF" w:rsidRPr="00AB31DF" w:rsidRDefault="00AB31DF" w:rsidP="00AB31D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position w:val="-28"/>
          <w:sz w:val="28"/>
          <w:szCs w:val="24"/>
          <w:lang w:eastAsia="ru-RU"/>
        </w:rPr>
        <w:object w:dxaOrig="3340" w:dyaOrig="760">
          <v:shape id="_x0000_i1054" type="#_x0000_t75" style="width:166.5pt;height:37.5pt" o:ole="">
            <v:imagedata r:id="rId62" o:title=""/>
          </v:shape>
          <o:OLEObject Type="Embed" ProgID="Equation.DSMT4" ShapeID="_x0000_i1054" DrawAspect="Content" ObjectID="_1649494492" r:id="rId63"/>
        </w:object>
      </w:r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Выбираем на подстанции 2 два трехфазных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двухобмоточных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трансформатора типа ТДН-16000/110.</w:t>
      </w:r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подстанции 3 устанавливаем два трансформатора, необходимая мощность каждого из которых</w:t>
      </w:r>
    </w:p>
    <w:p w:rsidR="00AB31DF" w:rsidRPr="00AB31DF" w:rsidRDefault="00AB31DF" w:rsidP="00AB31D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position w:val="-28"/>
          <w:sz w:val="28"/>
          <w:szCs w:val="24"/>
          <w:lang w:eastAsia="ru-RU"/>
        </w:rPr>
        <w:object w:dxaOrig="3200" w:dyaOrig="760">
          <v:shape id="_x0000_i1055" type="#_x0000_t75" style="width:160.5pt;height:37.5pt" o:ole="">
            <v:imagedata r:id="rId64" o:title=""/>
          </v:shape>
          <o:OLEObject Type="Embed" ProgID="Equation.DSMT4" ShapeID="_x0000_i1055" DrawAspect="Content" ObjectID="_1649494493" r:id="rId65"/>
        </w:object>
      </w:r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Выбираем на подстанции 3 два трехфазных </w:t>
      </w:r>
      <w:proofErr w:type="spell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двухобмоточных</w:t>
      </w:r>
      <w:proofErr w:type="spell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трансформатора типа ТДН-25000/110.</w:t>
      </w:r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keepNext/>
        <w:spacing w:before="20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b/>
          <w:spacing w:val="20"/>
          <w:sz w:val="26"/>
          <w:szCs w:val="20"/>
          <w:lang w:eastAsia="ru-RU"/>
        </w:rPr>
        <w:t>4. Составление схемы замещения и определение ее параметров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Схема замещения, фрагмент которой приводится на рисунке 3, повторяет конфигурацию заданной сети. Схема замещения подстанций 2 и 3 составляются аналогично подстанции 1. </w:t>
      </w:r>
    </w:p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6141720" cy="23202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20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1DF" w:rsidRPr="00AB31DF" w:rsidRDefault="00AB31DF" w:rsidP="00AB3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Рис. 3</w:t>
      </w:r>
    </w:p>
    <w:p w:rsidR="00AB31DF" w:rsidRPr="00AB31DF" w:rsidRDefault="00AB31DF" w:rsidP="00AB3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Определение параметров схем замещения воздушных ЛЭП электрических сетей сведем в таблицу 5.</w:t>
      </w:r>
    </w:p>
    <w:p w:rsidR="00AB31DF" w:rsidRPr="00AB31DF" w:rsidRDefault="00AB31DF" w:rsidP="00AB31DF">
      <w:pPr>
        <w:spacing w:after="0" w:line="240" w:lineRule="auto"/>
        <w:ind w:left="284" w:firstLine="85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5</w:t>
      </w:r>
    </w:p>
    <w:tbl>
      <w:tblPr>
        <w:tblW w:w="100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360"/>
        <w:gridCol w:w="851"/>
        <w:gridCol w:w="708"/>
        <w:gridCol w:w="999"/>
        <w:gridCol w:w="986"/>
        <w:gridCol w:w="992"/>
        <w:gridCol w:w="844"/>
        <w:gridCol w:w="844"/>
        <w:gridCol w:w="844"/>
      </w:tblGrid>
      <w:tr w:rsidR="00AB31DF" w:rsidRPr="00AB31DF" w:rsidTr="00894529">
        <w:trPr>
          <w:trHeight w:val="556"/>
        </w:trPr>
        <w:tc>
          <w:tcPr>
            <w:tcW w:w="8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Участок сети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Кол-во цепей ЛЭП</w:t>
            </w:r>
          </w:p>
        </w:tc>
        <w:tc>
          <w:tcPr>
            <w:tcW w:w="13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Марка сечение 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мм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провода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U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ном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0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l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уч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км</w:t>
            </w:r>
          </w:p>
        </w:tc>
        <w:tc>
          <w:tcPr>
            <w:tcW w:w="99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r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0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Ом/км</w:t>
            </w:r>
          </w:p>
        </w:tc>
        <w:tc>
          <w:tcPr>
            <w:tcW w:w="9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х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0</w:t>
            </w:r>
            <w:proofErr w:type="gram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Ом/км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b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0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x10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val="en-US" w:eastAsia="ru-RU"/>
              </w:rPr>
              <w:t>-6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C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м/км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R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уч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Ом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Х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уч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Ом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Q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суч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МВар</w:t>
            </w:r>
            <w:proofErr w:type="spellEnd"/>
          </w:p>
        </w:tc>
      </w:tr>
      <w:tr w:rsidR="00AB31DF" w:rsidRPr="00AB31DF" w:rsidTr="00894529">
        <w:tc>
          <w:tcPr>
            <w:tcW w:w="8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АС-185/29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110</w:t>
            </w:r>
          </w:p>
        </w:tc>
        <w:tc>
          <w:tcPr>
            <w:tcW w:w="70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47</w:t>
            </w:r>
          </w:p>
        </w:tc>
        <w:tc>
          <w:tcPr>
            <w:tcW w:w="99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0,159</w:t>
            </w:r>
          </w:p>
        </w:tc>
        <w:tc>
          <w:tcPr>
            <w:tcW w:w="9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0,413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2,747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7,47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19,4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1,56</w:t>
            </w:r>
          </w:p>
        </w:tc>
      </w:tr>
      <w:tr w:rsidR="00AB31DF" w:rsidRPr="00AB31DF" w:rsidTr="00894529">
        <w:tc>
          <w:tcPr>
            <w:tcW w:w="8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110</w:t>
            </w:r>
          </w:p>
        </w:tc>
        <w:tc>
          <w:tcPr>
            <w:tcW w:w="70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</w:t>
            </w:r>
          </w:p>
        </w:tc>
        <w:tc>
          <w:tcPr>
            <w:tcW w:w="99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0,244</w:t>
            </w:r>
          </w:p>
        </w:tc>
        <w:tc>
          <w:tcPr>
            <w:tcW w:w="9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0,427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2,658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7,81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13,7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1,03</w:t>
            </w:r>
          </w:p>
        </w:tc>
      </w:tr>
      <w:tr w:rsidR="00AB31DF" w:rsidRPr="00AB31DF" w:rsidTr="00894529">
        <w:tc>
          <w:tcPr>
            <w:tcW w:w="8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АС-120/19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110</w:t>
            </w:r>
          </w:p>
        </w:tc>
        <w:tc>
          <w:tcPr>
            <w:tcW w:w="70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</w:t>
            </w:r>
          </w:p>
        </w:tc>
        <w:tc>
          <w:tcPr>
            <w:tcW w:w="99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0,244</w:t>
            </w:r>
          </w:p>
        </w:tc>
        <w:tc>
          <w:tcPr>
            <w:tcW w:w="9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0,427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2,658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6,83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11,96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0,9</w:t>
            </w:r>
          </w:p>
        </w:tc>
      </w:tr>
      <w:tr w:rsidR="00AB31DF" w:rsidRPr="00AB31DF" w:rsidTr="00894529">
        <w:tc>
          <w:tcPr>
            <w:tcW w:w="8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АС-240/32</w:t>
            </w:r>
          </w:p>
        </w:tc>
        <w:tc>
          <w:tcPr>
            <w:tcW w:w="851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110</w:t>
            </w:r>
          </w:p>
        </w:tc>
        <w:tc>
          <w:tcPr>
            <w:tcW w:w="708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35</w:t>
            </w:r>
          </w:p>
        </w:tc>
        <w:tc>
          <w:tcPr>
            <w:tcW w:w="999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0,118</w:t>
            </w:r>
          </w:p>
        </w:tc>
        <w:tc>
          <w:tcPr>
            <w:tcW w:w="98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0,405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2,808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4,13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14,2</w:t>
            </w:r>
          </w:p>
        </w:tc>
        <w:tc>
          <w:tcPr>
            <w:tcW w:w="844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1,19</w:t>
            </w:r>
          </w:p>
        </w:tc>
      </w:tr>
    </w:tbl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DF" w:rsidRPr="00AB31DF" w:rsidRDefault="00AB31DF" w:rsidP="00AB31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Определение </w:t>
      </w:r>
      <w:proofErr w:type="gramStart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параметров схем замещения трансформаторов электрических сетей</w:t>
      </w:r>
      <w:proofErr w:type="gramEnd"/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сведем в таблицу 6.</w:t>
      </w:r>
    </w:p>
    <w:p w:rsidR="00AB31DF" w:rsidRPr="00AB31DF" w:rsidRDefault="00AB31DF" w:rsidP="00AB31DF">
      <w:pPr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B31DF" w:rsidRPr="00AB31DF" w:rsidRDefault="00AB31DF" w:rsidP="00AB31DF">
      <w:pPr>
        <w:spacing w:after="0" w:line="240" w:lineRule="auto"/>
        <w:ind w:left="284" w:firstLine="85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31DF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6</w:t>
      </w:r>
    </w:p>
    <w:tbl>
      <w:tblPr>
        <w:tblW w:w="9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92"/>
        <w:gridCol w:w="2126"/>
        <w:gridCol w:w="937"/>
        <w:gridCol w:w="765"/>
        <w:gridCol w:w="850"/>
        <w:gridCol w:w="1560"/>
        <w:gridCol w:w="2017"/>
      </w:tblGrid>
      <w:tr w:rsidR="00AB31DF" w:rsidRPr="00AB31DF" w:rsidTr="00894529">
        <w:trPr>
          <w:trHeight w:val="554"/>
        </w:trPr>
        <w:tc>
          <w:tcPr>
            <w:tcW w:w="6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proofErr w:type="gram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/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Кол-во трансформаторов</w:t>
            </w:r>
          </w:p>
        </w:tc>
        <w:tc>
          <w:tcPr>
            <w:tcW w:w="212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Тип трансформаторов</w:t>
            </w:r>
          </w:p>
        </w:tc>
        <w:tc>
          <w:tcPr>
            <w:tcW w:w="93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S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ном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 xml:space="preserve"> 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тр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МВА</w:t>
            </w:r>
          </w:p>
        </w:tc>
        <w:tc>
          <w:tcPr>
            <w:tcW w:w="76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∆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Р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хх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МВт</w:t>
            </w: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I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хх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%</w:t>
            </w:r>
          </w:p>
        </w:tc>
        <w:tc>
          <w:tcPr>
            <w:tcW w:w="15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∆S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ст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МВА</w:t>
            </w:r>
          </w:p>
        </w:tc>
        <w:tc>
          <w:tcPr>
            <w:tcW w:w="20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Z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тр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=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R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тр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+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j</w:t>
            </w:r>
            <w:proofErr w:type="spellStart"/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Х</w:t>
            </w:r>
            <w:r w:rsidRPr="00AB31DF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eastAsia="ru-RU"/>
              </w:rPr>
              <w:t>тр</w:t>
            </w:r>
            <w:proofErr w:type="spellEnd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Ом</w:t>
            </w:r>
          </w:p>
        </w:tc>
      </w:tr>
      <w:tr w:rsidR="00AB31DF" w:rsidRPr="00AB31DF" w:rsidTr="00894529">
        <w:tc>
          <w:tcPr>
            <w:tcW w:w="6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ТДН-25000/110</w:t>
            </w:r>
          </w:p>
        </w:tc>
        <w:tc>
          <w:tcPr>
            <w:tcW w:w="93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76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0,019</w:t>
            </w: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0,7</w:t>
            </w:r>
          </w:p>
        </w:tc>
        <w:tc>
          <w:tcPr>
            <w:tcW w:w="15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commentRangeStart w:id="5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0,038+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j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</w:t>
            </w:r>
          </w:p>
        </w:tc>
        <w:tc>
          <w:tcPr>
            <w:tcW w:w="20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2,19+43,35</w:t>
            </w:r>
            <w:commentRangeEnd w:id="5"/>
            <w:r w:rsidR="006B68DA">
              <w:rPr>
                <w:rStyle w:val="a5"/>
              </w:rPr>
              <w:commentReference w:id="5"/>
            </w:r>
          </w:p>
        </w:tc>
      </w:tr>
      <w:tr w:rsidR="00AB31DF" w:rsidRPr="00AB31DF" w:rsidTr="00894529">
        <w:tc>
          <w:tcPr>
            <w:tcW w:w="6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ТДН-16000/110</w:t>
            </w:r>
          </w:p>
        </w:tc>
        <w:tc>
          <w:tcPr>
            <w:tcW w:w="93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</w:t>
            </w:r>
          </w:p>
        </w:tc>
        <w:tc>
          <w:tcPr>
            <w:tcW w:w="76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0,019</w:t>
            </w: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0,7</w:t>
            </w:r>
          </w:p>
        </w:tc>
        <w:tc>
          <w:tcPr>
            <w:tcW w:w="15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0,038+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j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0,224</w:t>
            </w:r>
          </w:p>
        </w:tc>
        <w:tc>
          <w:tcPr>
            <w:tcW w:w="20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2,19+43,35</w:t>
            </w:r>
          </w:p>
        </w:tc>
      </w:tr>
      <w:tr w:rsidR="00AB31DF" w:rsidRPr="00AB31DF" w:rsidTr="00894529">
        <w:tc>
          <w:tcPr>
            <w:tcW w:w="67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ТДН-25000/110</w:t>
            </w:r>
          </w:p>
        </w:tc>
        <w:tc>
          <w:tcPr>
            <w:tcW w:w="93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765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0,019</w:t>
            </w:r>
          </w:p>
        </w:tc>
        <w:tc>
          <w:tcPr>
            <w:tcW w:w="85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0,7</w:t>
            </w:r>
          </w:p>
        </w:tc>
        <w:tc>
          <w:tcPr>
            <w:tcW w:w="1560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commentRangeStart w:id="6"/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0,038+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j</w:t>
            </w: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</w:t>
            </w:r>
          </w:p>
        </w:tc>
        <w:tc>
          <w:tcPr>
            <w:tcW w:w="2017" w:type="dxa"/>
            <w:vAlign w:val="center"/>
          </w:tcPr>
          <w:p w:rsidR="00AB31DF" w:rsidRPr="00AB31DF" w:rsidRDefault="00AB31DF" w:rsidP="00AB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B31D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2,19+43,35</w:t>
            </w:r>
            <w:commentRangeEnd w:id="6"/>
            <w:r w:rsidR="006B68DA">
              <w:rPr>
                <w:rStyle w:val="a5"/>
              </w:rPr>
              <w:commentReference w:id="6"/>
            </w:r>
          </w:p>
        </w:tc>
      </w:tr>
    </w:tbl>
    <w:p w:rsidR="00AB31DF" w:rsidRPr="00AB31DF" w:rsidRDefault="00AB31DF" w:rsidP="00AB31D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629A" w:rsidRDefault="005A629A"/>
    <w:sectPr w:rsidR="005A6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Елена" w:date="2020-04-27T11:57:00Z" w:initials="Е">
    <w:p w:rsidR="006B68DA" w:rsidRPr="006B68DA" w:rsidRDefault="006B68DA">
      <w:pPr>
        <w:pStyle w:val="a6"/>
      </w:pPr>
      <w:r>
        <w:rPr>
          <w:rStyle w:val="a5"/>
        </w:rPr>
        <w:annotationRef/>
      </w:r>
      <w:r>
        <w:t xml:space="preserve">Мощности в расчет должны быть взяты в комплексной форме </w:t>
      </w:r>
      <w:r>
        <w:rPr>
          <w:lang w:val="en-US"/>
        </w:rPr>
        <w:t>P</w:t>
      </w:r>
      <w:r w:rsidRPr="006B68DA">
        <w:t>+</w:t>
      </w:r>
      <w:proofErr w:type="spellStart"/>
      <w:r>
        <w:rPr>
          <w:lang w:val="en-US"/>
        </w:rPr>
        <w:t>jQ</w:t>
      </w:r>
      <w:proofErr w:type="spellEnd"/>
      <w:r>
        <w:t xml:space="preserve">. В результате получаем </w:t>
      </w:r>
      <w:r>
        <w:rPr>
          <w:lang w:val="en-US"/>
        </w:rPr>
        <w:t>S</w:t>
      </w:r>
      <w:r w:rsidRPr="006B68DA">
        <w:t>01</w:t>
      </w:r>
      <w:r>
        <w:t>=32,65+</w:t>
      </w:r>
      <w:r>
        <w:rPr>
          <w:lang w:val="en-US"/>
        </w:rPr>
        <w:t>j</w:t>
      </w:r>
      <w:r>
        <w:t>22,70 МВА</w:t>
      </w:r>
    </w:p>
  </w:comment>
  <w:comment w:id="1" w:author="Елена" w:date="2020-04-27T11:58:00Z" w:initials="Е">
    <w:p w:rsidR="006B68DA" w:rsidRPr="006B68DA" w:rsidRDefault="006B68DA">
      <w:pPr>
        <w:pStyle w:val="a6"/>
      </w:pPr>
      <w:r>
        <w:rPr>
          <w:rStyle w:val="a5"/>
        </w:rPr>
        <w:annotationRef/>
      </w:r>
      <w:r>
        <w:t>? должно быть 35,35+</w:t>
      </w:r>
      <w:r>
        <w:rPr>
          <w:lang w:val="en-US"/>
        </w:rPr>
        <w:t>j</w:t>
      </w:r>
      <w:r>
        <w:t>24,42 МВА</w:t>
      </w:r>
    </w:p>
  </w:comment>
  <w:comment w:id="2" w:author="Елена" w:date="2020-04-27T12:01:00Z" w:initials="Е">
    <w:p w:rsidR="006B68DA" w:rsidRPr="006B68DA" w:rsidRDefault="006B68DA">
      <w:pPr>
        <w:pStyle w:val="a6"/>
      </w:pPr>
      <w:r>
        <w:rPr>
          <w:rStyle w:val="a5"/>
        </w:rPr>
        <w:annotationRef/>
      </w:r>
      <w:r>
        <w:t>Определил неверно</w:t>
      </w:r>
      <w:proofErr w:type="gramStart"/>
      <w:r>
        <w:t>.</w:t>
      </w:r>
      <w:proofErr w:type="gramEnd"/>
      <w:r>
        <w:t xml:space="preserve"> Не учли коэффициенты </w:t>
      </w:r>
      <w:r>
        <w:rPr>
          <w:rFonts w:cstheme="minorHAnsi"/>
        </w:rPr>
        <w:t>α</w:t>
      </w:r>
      <w:r>
        <w:rPr>
          <w:lang w:val="en-US"/>
        </w:rPr>
        <w:t>t</w:t>
      </w:r>
      <w:r w:rsidRPr="006B68DA">
        <w:t xml:space="preserve"> </w:t>
      </w:r>
      <w:r>
        <w:t xml:space="preserve">и </w:t>
      </w:r>
      <w:r>
        <w:rPr>
          <w:rFonts w:cstheme="minorHAnsi"/>
          <w:lang w:val="en-US"/>
        </w:rPr>
        <w:t>α</w:t>
      </w:r>
      <w:proofErr w:type="spellStart"/>
      <w:r>
        <w:rPr>
          <w:lang w:val="en-US"/>
        </w:rPr>
        <w:t>i</w:t>
      </w:r>
      <w:proofErr w:type="spellEnd"/>
      <w:r>
        <w:t>.</w:t>
      </w:r>
    </w:p>
  </w:comment>
  <w:comment w:id="3" w:author="Елена" w:date="2020-04-27T12:00:00Z" w:initials="Е">
    <w:p w:rsidR="006B68DA" w:rsidRDefault="006B68DA">
      <w:pPr>
        <w:pStyle w:val="a6"/>
      </w:pPr>
      <w:r>
        <w:rPr>
          <w:rStyle w:val="a5"/>
        </w:rPr>
        <w:annotationRef/>
      </w:r>
      <w:r>
        <w:t>Определили неверно</w:t>
      </w:r>
    </w:p>
  </w:comment>
  <w:comment w:id="4" w:author="Елена" w:date="2020-04-27T12:03:00Z" w:initials="Е">
    <w:p w:rsidR="006B68DA" w:rsidRDefault="006B68DA">
      <w:pPr>
        <w:pStyle w:val="a6"/>
      </w:pPr>
      <w:r>
        <w:rPr>
          <w:rStyle w:val="a5"/>
        </w:rPr>
        <w:annotationRef/>
      </w:r>
      <w:r>
        <w:t>Почему здесь стало такое сечение?</w:t>
      </w:r>
    </w:p>
  </w:comment>
  <w:comment w:id="5" w:author="Елена" w:date="2020-04-27T12:07:00Z" w:initials="Е">
    <w:p w:rsidR="006B68DA" w:rsidRDefault="006B68DA">
      <w:pPr>
        <w:pStyle w:val="a6"/>
      </w:pPr>
      <w:r>
        <w:rPr>
          <w:rStyle w:val="a5"/>
        </w:rPr>
        <w:annotationRef/>
      </w:r>
      <w:r>
        <w:t>неверно</w:t>
      </w:r>
    </w:p>
  </w:comment>
  <w:comment w:id="6" w:author="Елена" w:date="2020-04-27T12:07:00Z" w:initials="Е">
    <w:p w:rsidR="006B68DA" w:rsidRDefault="006B68DA">
      <w:pPr>
        <w:pStyle w:val="a6"/>
      </w:pPr>
      <w:r>
        <w:rPr>
          <w:rStyle w:val="a5"/>
        </w:rPr>
        <w:annotationRef/>
      </w:r>
      <w:r>
        <w:t>неверно</w:t>
      </w:r>
      <w:bookmarkStart w:id="7" w:name="_GoBack"/>
      <w:bookmarkEnd w:id="7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74AE6"/>
    <w:multiLevelType w:val="hybridMultilevel"/>
    <w:tmpl w:val="321A5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9C"/>
    <w:rsid w:val="00236AA8"/>
    <w:rsid w:val="005357F8"/>
    <w:rsid w:val="005A629A"/>
    <w:rsid w:val="005B389C"/>
    <w:rsid w:val="006B68DA"/>
    <w:rsid w:val="00AB31DF"/>
    <w:rsid w:val="00F6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1D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B68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B68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B68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B68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B68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1D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B68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B68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B68D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B68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B68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5.wmf"/><Relationship Id="rId66" Type="http://schemas.openxmlformats.org/officeDocument/2006/relationships/image" Target="media/image29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3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png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comments" Target="comments.xml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5.bin"/><Relationship Id="rId62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dcterms:created xsi:type="dcterms:W3CDTF">2020-04-27T05:07:00Z</dcterms:created>
  <dcterms:modified xsi:type="dcterms:W3CDTF">2020-04-27T05:07:00Z</dcterms:modified>
</cp:coreProperties>
</file>