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AB" w:rsidRPr="0057223C" w:rsidRDefault="00BE59AB" w:rsidP="00BE59AB">
      <w:pPr>
        <w:spacing w:line="26" w:lineRule="atLeast"/>
        <w:contextualSpacing/>
        <w:jc w:val="both"/>
        <w:rPr>
          <w:rFonts w:ascii="Arial" w:hAnsi="Arial" w:cs="Arial"/>
          <w:sz w:val="28"/>
          <w:szCs w:val="28"/>
        </w:rPr>
      </w:pPr>
      <w:r w:rsidRPr="0057223C">
        <w:rPr>
          <w:rFonts w:ascii="Arial" w:hAnsi="Arial" w:cs="Arial"/>
          <w:sz w:val="28"/>
          <w:szCs w:val="28"/>
        </w:rPr>
        <w:t>У двух шаров из одинакового материала радиусы отличаются в 3 раза. Во сколько раз отличаются их главные моменты инерции?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BE59AB"/>
    <w:rsid w:val="006D3B1D"/>
    <w:rsid w:val="00BE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2020-05-21T14:04:00Z</dcterms:created>
  <dcterms:modified xsi:type="dcterms:W3CDTF">2020-05-21T14:04:00Z</dcterms:modified>
</cp:coreProperties>
</file>