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37C" w:rsidRDefault="00B9761E">
      <w:r>
        <w:t xml:space="preserve">Найти комплексную степень когерентности излучения, имеющего прямоугольный контур спектральной линии с граничными частотами </w:t>
      </w:r>
      <w:r>
        <w:rPr>
          <w:rFonts w:ascii="Calibri" w:hAnsi="Calibri" w:cs="Calibri"/>
        </w:rPr>
        <w:t>ν1 и ν2 .</w:t>
      </w:r>
      <w:r>
        <w:t xml:space="preserve"> Представить зависимость модуля комплексной степени когерентности от разности хода между интерферирующими лучами графически.</w:t>
      </w:r>
    </w:p>
    <w:sectPr w:rsidR="0093537C" w:rsidSect="00935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9761E"/>
    <w:rsid w:val="0093537C"/>
    <w:rsid w:val="00B97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2020-06-05T11:42:00Z</dcterms:created>
  <dcterms:modified xsi:type="dcterms:W3CDTF">2020-06-05T11:43:00Z</dcterms:modified>
</cp:coreProperties>
</file>